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https://www.cnmc.es/expedientes/c140623</w:t>
      </w:r>
    </w:p>
    <w:p>
      <w:r>
        <w:t>Pages translated : 1</w:t>
      </w:r>
    </w:p>
    <w:p/>
    <w:p>
      <w:r>
        <w:rPr>
          <w:b/>
        </w:rPr>
        <w:t>[Pages 1–1]</w:t>
      </w:r>
    </w:p>
    <w:p>
      <w:r>
        <w:t xml:space="preserve">C/1406/23  </w:t>
        <w:br/>
        <w:t xml:space="preserve">EBIQUITY / MEDIAPATH  </w:t>
        <w:br/>
        <w:t xml:space="preserve">RESOLUTION  </w:t>
        <w:br/>
        <w:t xml:space="preserve">FILE EBIQUITY / MEDIAPATH  </w:t>
        <w:br/>
        <w:t xml:space="preserve">(C/1406/23)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November 29, 2023</w:t>
      </w:r>
    </w:p>
    <w:p>
      <w:r>
        <w:t>The Competition Chamber has analyzed the concentration file processed in accordance with Law 15/2007, of July 3, on the Defense of Competition, consisting of the acquisition by Ebiquity plc (“EBIQUITY”) of exclusive control of MediaPath Network AB (“MEDIAPATH”), through the acquisition of 100% of its shares. In accordance with the report and proposal submitted by the Competition Directorate, the Competition Chamber has resolved, applying Article 57.2.b) of the aforementioned Law 15/2007, of July 3, to authorize the aforementioned concentration operation subject to the fulfillment of the commitments presented by EBIQUITY on November 23, 2023.</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