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https://www.cnmc.es/expedientes/c140723</w:t>
      </w:r>
    </w:p>
    <w:p>
      <w:r>
        <w:t>Pages translated : 1</w:t>
      </w:r>
    </w:p>
    <w:p/>
    <w:p>
      <w:r>
        <w:rPr>
          <w:b/>
        </w:rPr>
        <w:t>[Pages 1–1]</w:t>
      </w:r>
    </w:p>
    <w:p>
      <w:r>
        <w:t xml:space="preserve">C/1407/23  </w:t>
        <w:br/>
        <w:t xml:space="preserve">KKR / GENERALIFE  </w:t>
        <w:br/>
        <w:t xml:space="preserve">RESOLUTION  </w:t>
        <w:br/>
        <w:t xml:space="preserve">FILE KKR / GENERALIFE  </w:t>
        <w:br/>
        <w:t xml:space="preserve">(C/1407/23)  </w:t>
        <w:br/>
        <w:t>COUNCIL. COMPETITION CHAMBER</w:t>
      </w:r>
    </w:p>
    <w:p>
      <w:r>
        <w:t xml:space="preserve">President  </w:t>
        <w:br/>
        <w:t>Ms. Cani Fernández Vicién</w:t>
      </w:r>
    </w:p>
    <w:p>
      <w:r>
        <w:t xml:space="preserve">Councilors  </w:t>
        <w:br/>
        <w:t xml:space="preserve">Ms. María Jesús Martín Martínez  </w:t>
        <w:br/>
        <w:t xml:space="preserve">Mr. Bernardo Lorenzo Almendros  </w:t>
        <w:br/>
        <w:t>Mr. Xabier Ormaetxea Garai</w:t>
      </w:r>
    </w:p>
    <w:p>
      <w:r>
        <w:t xml:space="preserve">Secretary of the Council  </w:t>
        <w:br/>
        <w:t>Mr. Miguel Bordiu Garcia-Ovies</w:t>
      </w:r>
    </w:p>
    <w:p>
      <w:r>
        <w:t>In Barcelona, on December 20, 2023</w:t>
      </w:r>
    </w:p>
    <w:p>
      <w:r>
        <w:t>The Competition Chamber has analyzed the concentration file processed in accordance with Law 15/2007, of July 3, on the Defense of Competition, consisting of the exclusive control acquisition of GENERALIFE by KKR GENESIS, through the purchase of 100% of the issued and outstanding shares of Global Drew S.L., the parent company of GENERALIFE at the time of execution. According to the report and proposal submitted by the Directorate of Competition, the Competition Chamber has resolved, in application of Article 57.2.a) of the aforementioned Law 15/2007, of July 3, to authorize the said concentration operation.</w:t>
      </w:r>
    </w:p>
    <w:p>
      <w:r>
        <w:t>This Resolution shall be communicated to the Directorate of Competition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p>
      <w:r>
        <w:t xml:space="preserve">National Commission on Markets and Competition  </w:t>
        <w:br/>
        <w:t xml:space="preserve">1 of 1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