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https://www.cnmc.es/expedientes/c140923</w:t>
      </w:r>
    </w:p>
    <w:p>
      <w:r>
        <w:t>Pages translated : 2</w:t>
      </w:r>
    </w:p>
    <w:p/>
    <w:p>
      <w:r>
        <w:rPr>
          <w:b/>
        </w:rPr>
        <w:t>[Pages 1–2]</w:t>
      </w:r>
    </w:p>
    <w:p>
      <w:r>
        <w:t xml:space="preserve">C/1409/23  </w:t>
        <w:br/>
        <w:t xml:space="preserve">TECNO FAST / ALQUIBALAT  </w:t>
        <w:br/>
        <w:t xml:space="preserve">RESOLUTION  </w:t>
        <w:br/>
        <w:t xml:space="preserve">FILE TECNO FAST / ALQUIBALAT  </w:t>
        <w:br/>
        <w:t xml:space="preserve">(C/1409/23)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16, 2023</w:t>
      </w:r>
    </w:p>
    <w:p>
      <w:r>
        <w:t>The Competition Chamber has analyzed the merger file processed in accordance with Law 15/2007, of July 3, on the Defense of Competition, consisting of the acquisition of exclusive control of Alquibalat, S.L. (hereinafter, "BALAT") by Tecno Fast España, S.L. (hereinafter, "TECNO FAST"), which will be carried out through the acquisition of [CONFIDENTIAL]% of the share capital of BALAT. According to the report and the proposal submitted by the Directorate of Competition, the Competition Chamber has resolved, in application of Article 57.2.a) of the aforementioned Law 15/2007, of July 3, to authorize the aforementioned merger operation.</w:t>
      </w:r>
    </w:p>
    <w:p>
      <w:r>
        <w:t>Likewise, taking into account the practice of the CNMC and what is established in the Communication of the Commission regarding restrictions directly linked to the execution of a merger and necessary for that purpose (2005/C 56/03); this Chamber considers that, in the present case, they are not deemed necessary for the execution of the operation nor accessory to it, remaining subject to the regulations on agreements between companies, the duration of non-competition and confidentiality clauses, in all that exceeds the period of two years from the execution of the operation.</w:t>
      </w:r>
    </w:p>
    <w:p>
      <w:r>
        <w:t xml:space="preserve">National Commission of Markets and Competition 1 of 2  </w:t>
        <w:br/>
        <w:t xml:space="preserve">C/ Alcalá, 47 – 28014 Madrid - C/ Bolivia, 56 – 08018 Barcelona  </w:t>
        <w:br/>
        <w:t>www.cnmc.es</w:t>
      </w:r>
    </w:p>
    <w:p>
      <w:r>
        <w:t xml:space="preserve">C/1409/23  </w:t>
        <w:br/>
        <w:t xml:space="preserve">TECNO FAST / ALQUIBALAT  </w:t>
        <w:br/>
        <w:t xml:space="preserve">All of this in accordance with what is indicated in the aforementioned report proposal from the Directorate of Competition.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