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https://www.cnmc.es/expedientes/c141023</w:t>
      </w:r>
    </w:p>
    <w:p>
      <w:r>
        <w:t>Pages translated : 2</w:t>
      </w:r>
    </w:p>
    <w:p/>
    <w:p>
      <w:r>
        <w:rPr>
          <w:b/>
        </w:rPr>
        <w:t>[Pages 1–2]</w:t>
      </w:r>
    </w:p>
    <w:p>
      <w:r>
        <w:t xml:space="preserve">C/1410/23  </w:t>
        <w:br/>
        <w:t xml:space="preserve">CONCESUR / MERCEDES ASSETS  </w:t>
        <w:br/>
        <w:t xml:space="preserve">RESOLUTION  </w:t>
        <w:br/>
        <w:t xml:space="preserve">FILE CONCESUR / MERCEDES ASSETS  </w:t>
        <w:br/>
        <w:t xml:space="preserve">(C/1410/23)  </w:t>
        <w:br/>
        <w:t>COUNCIL. COMPETITION CHAMBER</w:t>
      </w:r>
    </w:p>
    <w:p>
      <w:r>
        <w:t xml:space="preserve">President  </w:t>
        <w:br/>
        <w:t>Ms. Cani Fernández Vicién</w:t>
      </w:r>
    </w:p>
    <w:p>
      <w:r>
        <w:t xml:space="preserve">Counselors  </w:t>
        <w:br/>
        <w:t xml:space="preserve">Mr. Carlos Aguilar Paredes  </w:t>
        <w:br/>
        <w:t xml:space="preserve">Ms. María Jesús Martín Martínez  </w:t>
        <w:br/>
        <w:t>Mr. Bernardo Lorenzo Almendros</w:t>
      </w:r>
    </w:p>
    <w:p>
      <w:r>
        <w:t xml:space="preserve">Secretary of the Council  </w:t>
        <w:br/>
        <w:t>Mr. Miguel Bordiu Garcia-Ovies</w:t>
      </w:r>
    </w:p>
    <w:p>
      <w:r>
        <w:t>In Madrid, on September 13, 2023</w:t>
      </w:r>
    </w:p>
    <w:p>
      <w:r>
        <w:t>The Competition Chamber has analyzed the concentration file processed in accordance with Law 15/2007, of July 3, on the Defense of Competition, consisting of the acquisition by Concesionarios del Sur, S.A. (CONCESUR), a holding company that controls a group of companies dedicated to the motor vehicle distribution sector of different brands (GRUPO CONCESUR), of exclusive control of the assets that form a branch of activity belonging to Mercedes-Benz Retail, S.A.U. (MERCEDES ASSETS). In accordance with the report and proposal submitted by the Competition Directorate, the Competition Chamber has resolved, under Article 57.2.a) of the aforementioned Law 15/2007, of July 3, to authorize the aforementioned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the confidentiality agreement included in clause 14.1.(ii) of the purchase agreement goes beyond what is reasonably required by the notified concentration operation, thus remaining subject to the general regulations applicable to agreements between companies in what exceeds two years from the date of closing of the operation.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