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https://www.cnmc.es/expedientes/c141123</w:t>
      </w:r>
    </w:p>
    <w:p>
      <w:r>
        <w:t>Pages translated : 2</w:t>
      </w:r>
    </w:p>
    <w:p/>
    <w:p>
      <w:r>
        <w:rPr>
          <w:b/>
        </w:rPr>
        <w:t>[Pages 1–2]</w:t>
      </w:r>
    </w:p>
    <w:p>
      <w:r>
        <w:t xml:space="preserve">C/1411/23  </w:t>
        <w:br/>
        <w:t xml:space="preserve">PERMIRA / ALTAMARCAM CAM PARTNERS  </w:t>
        <w:br/>
        <w:t xml:space="preserve">RESOLUTION  </w:t>
        <w:br/>
        <w:t xml:space="preserve">FILE PERMIRA / ALTAMARCAM CAM PARTNERS  </w:t>
        <w:br/>
        <w:t xml:space="preserve">(C/1411/23)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Madrid, on September 13, 2023</w:t>
      </w:r>
    </w:p>
    <w:p>
      <w:r>
        <w:t>The Competition Chamber has analyzed the merger file processed in accordance with Law 15/2007, of July 3, on the Defense of Competition, consisting of the acquisition by Permira Holdings Limited (PERMIRA) of the indirect exclusive control of Altamar CAM Partners S.L. (ALTAMARCAM) through the vehicle company Permira Growth II (UK) Eleven LTD (PGIIUK). According to the report and the proposal submitted by the Directorate of Competition, the Competition Chamber has resolved, in application of Article 57.2.a) of the aforementioned Law 15/2007, of July 3, to authorize the said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confidentiality clause exceeds in the temporal scope, due to the absence of a time limit and in the material scope, as it applies to the purchasing party, going beyond what is reasonably required by the notified merger operation and should not be considered necessary or accessory, thus remaining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 xml:space="preserve">National Commission of Markets and Competition 1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