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https://www.cnmc.es/expedientes/c141223</w:t>
      </w:r>
    </w:p>
    <w:p>
      <w:r>
        <w:t>Pages translated : 2</w:t>
      </w:r>
    </w:p>
    <w:p/>
    <w:p>
      <w:r>
        <w:rPr>
          <w:b/>
        </w:rPr>
        <w:t>[Pages 1–2]</w:t>
      </w:r>
    </w:p>
    <w:p>
      <w:r>
        <w:t xml:space="preserve">C/1412/23  </w:t>
        <w:br/>
        <w:t xml:space="preserve">MÉMORA FUNERAL SERVICES / FUNERARIA LUIS NUEVO  </w:t>
        <w:br/>
        <w:t xml:space="preserve">RESOLUTION  </w:t>
        <w:br/>
        <w:t xml:space="preserve">FILE MÉMORA FUNERAL SERVICES / FUNERARIA  </w:t>
        <w:br/>
        <w:t xml:space="preserve">LUIS NUEVO  </w:t>
        <w:br/>
        <w:t xml:space="preserve">(C/1412/23)  </w:t>
        <w:br/>
        <w:t xml:space="preserve">COUNCIL. COMPETITION CHAMBER  </w:t>
        <w:br/>
        <w:t xml:space="preserve">President  </w:t>
        <w:br/>
        <w:t xml:space="preserve">Ms. Cani Fernández Vicién  </w:t>
        <w:br/>
        <w:t xml:space="preserve">Councilors  </w:t>
        <w:br/>
        <w:t xml:space="preserve">Mr. Carlos Aguilar Paredes  </w:t>
        <w:br/>
        <w:t xml:space="preserve">Ms. María Jesús Martín Martínez  </w:t>
        <w:br/>
        <w:t xml:space="preserve">Mr. Bernardo Lorenzo Almendros  </w:t>
        <w:br/>
        <w:t xml:space="preserve">Secretary of the Council  </w:t>
        <w:br/>
        <w:t xml:space="preserve">Mr. Miguel Bordiu Garcia-Ovies  </w:t>
        <w:br/>
        <w:t xml:space="preserve">In Madrid, on September 13, 2023  </w:t>
        <w:br/>
        <w:t xml:space="preserve">The Competition Chamber has analyzed the concentration file processed  </w:t>
        <w:br/>
        <w:t xml:space="preserve">in accordance with Law 15/2007, of July 3, on the Defense of Competition,  </w:t>
        <w:br/>
        <w:t xml:space="preserve">consisting of the acquisition by Mémora Funeral Services, S.L.  </w:t>
        <w:br/>
        <w:t xml:space="preserve">(MÉMORA) of the funeral assets of the company Funeraria Luis Nuevo, S.L.  </w:t>
        <w:br/>
        <w:t xml:space="preserve">(FLN) by virtue of which MÉMORA will acquire full ownership of all the assets,  </w:t>
        <w:br/>
        <w:t xml:space="preserve">rights, assets, equipment, and vehicles that are inherent to FLN for the  </w:t>
        <w:br/>
        <w:t xml:space="preserve">development of the funeral activity1. According to the report and proposal  </w:t>
        <w:br/>
        <w:t xml:space="preserve">submitted by the Competition Directorate, the Competition Chamber has resolved,  </w:t>
        <w:br/>
        <w:t xml:space="preserve">1 The operation includes the acquisition of three funeral homes in the municipalities of Paiporta, Albal, and Bétera, and a crematorium in Paiporta, as well as the transfer of employees and all contracts, licenses and permits, goodwill, and intellectual property rights necessary to continue with the funeral activity.  </w:t>
        <w:br/>
        <w:t xml:space="preserve">National Commission of Markets and Competition 1 of 2  </w:t>
        <w:br/>
        <w:t xml:space="preserve">C/ Alcalá, 47 – 28014 Madrid - C/ Bolivia, 56 – 08018 Barcelona  </w:t>
        <w:br/>
        <w:t>www.cnmc.es</w:t>
      </w:r>
    </w:p>
    <w:p>
      <w:r>
        <w:t xml:space="preserve">C/1412/23  </w:t>
        <w:br/>
        <w:t xml:space="preserve">MÉMORA FUNERAL SERVICES / FUNERARIA LUIS NUEVO  </w:t>
        <w:br/>
        <w:t xml:space="preserve">in application of Article 57.2.a) of the aforementioned Law 15/2007, of July 3,  </w:t>
        <w:br/>
        <w:t xml:space="preserve">to authorize the aforementioned concentration operation.  </w:t>
        <w:br/>
        <w:t xml:space="preserve">Likewise, taking into account the practice of the CNMC and what is established in the  </w:t>
        <w:br/>
        <w:t xml:space="preserve">Commission Communication on restrictions directly linked to the execution of a concentration and necessary for that purpose (2005/C 56/03); this  </w:t>
        <w:br/>
        <w:t xml:space="preserve">Chamber considers that in the present case, the material scope of the non-competition clause, regarding the acquisition of non-controlling interests, as well as the exercise of activities related to the activity provided by the acquired party but that were not being provided by it, and the temporal scope, in what exceeds two years, go beyond what, reasonably, is required by the notified concentration operation, thus remaining subject to the general regulations applicable to agreements between companies. All of this in accordance with what is indicated in the aforementioned report proposal from the Competition Directorate.  </w:t>
        <w:br/>
        <w:t xml:space="preserve">Communicate this Resolution to the Competition Directorate of the National Commission of Markets and Competition and notify the interested party,  </w:t>
        <w:br/>
        <w:t xml:space="preserve">informing them that it concludes the administrative procedure and that a contentious-administrative appeal can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