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https://www.cnmc.es/expedientes/c141323</w:t>
      </w:r>
    </w:p>
    <w:p>
      <w:r>
        <w:t>Pages translated : 2</w:t>
      </w:r>
    </w:p>
    <w:p/>
    <w:p>
      <w:r>
        <w:rPr>
          <w:b/>
        </w:rPr>
        <w:t>[Pages 1–2]</w:t>
      </w:r>
    </w:p>
    <w:p>
      <w:r>
        <w:t xml:space="preserve">C/1413/23  </w:t>
        <w:br/>
        <w:t xml:space="preserve">HELVETIA / EL RECUERDO  </w:t>
        <w:br/>
        <w:t xml:space="preserve">RESOLUTION  </w:t>
        <w:br/>
        <w:t xml:space="preserve">FILE HELVETIA / EL RECUERDO  </w:t>
        <w:br/>
        <w:t xml:space="preserve">(C/1413/23)  </w:t>
        <w:br/>
        <w:t>COUNCIL. COMPETITION CHAMBER</w:t>
      </w:r>
    </w:p>
    <w:p>
      <w:r>
        <w:t xml:space="preserve">President  </w:t>
        <w:br/>
        <w:t>Ms. Cani Fernández Vicién</w:t>
      </w:r>
    </w:p>
    <w:p>
      <w:r>
        <w:t xml:space="preserve">Counselors  </w:t>
        <w:br/>
        <w:t xml:space="preserve">Mr. Carlos Aguilar Paredes  </w:t>
        <w:br/>
        <w:t xml:space="preserve">Ms. María Jesús Martín Martínez  </w:t>
        <w:br/>
        <w:t>Mr. Bernardo Lorenzo Almendros</w:t>
      </w:r>
    </w:p>
    <w:p>
      <w:r>
        <w:t xml:space="preserve">Secretary of the Council  </w:t>
        <w:br/>
        <w:t>Mr. Miguel Bordiu Garcia-Ovies</w:t>
      </w:r>
    </w:p>
    <w:p>
      <w:r>
        <w:t>In Madrid, on September 13, 2023</w:t>
      </w:r>
    </w:p>
    <w:p>
      <w:r>
        <w:t xml:space="preserve">The Competition Chamber has analyzed the concentration file processed in accordance with Law 15/2007, of July 3, on the Defense of Competition, consisting of the acquisition by Helvetia Compañía Suiza, S.A. de Seguros y Reaseguros (HELVETIA) of exclusive control of Funeraria el Recuerdo (EL RECUERDO) through the direct acquisition of 51% of its shareholding and, indirectly, of the shares in its subsidiaries. Additionally, SAISA 2020, Sociedad de Inversiones Andaluzas S.A. is also acquired. According to the report and proposal submitted by the Directorate of Competition, the Competition Chamber has resolved, in application of Article 57.2.a) of the aforementioned Law 15/2007, of July 3, to authorize the aforementioned concentration operation.  </w:t>
        <w:br/>
        <w:t>1 Currently, it is inactive as it has three funeral homes that are still under construction or planning.</w:t>
      </w:r>
    </w:p>
    <w:p>
      <w:r>
        <w:t>National Commission of Markets and Competition</w:t>
      </w:r>
    </w:p>
    <w:p>
      <w:r>
        <w:t xml:space="preserve">C/ Alcalá, 47 – 28014 Madrid - C/ Bolivia, 56 – 08018 Barcelona  </w:t>
        <w:br/>
        <w:t>www.cnmc.es</w:t>
      </w:r>
    </w:p>
    <w:p>
      <w:r>
        <w:t xml:space="preserve">C/1413/23  </w:t>
        <w:br/>
        <w:t>HELVETIA / EL RECUERDO</w:t>
      </w:r>
    </w:p>
    <w:p>
      <w:r>
        <w:t>Likewise, taking into account the practice of the CNMC and what is established in the Commission Communication on restrictions directly linked to the execution of a concentration and necessary for that purpose (2005/C 56/03); this Chamber considers that in the present case, the temporal scope of the confidentiality clause, in what exceeds the two years established by the aforementioned Communication, goes beyond what is reasonably required by the notified concentration operation, thus remaining subject to the general regulations applicable to agreements between companies. All of this in accordance with what is indicated in the aforementioned report proposal of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National Commission of Markets and Competition</w:t>
      </w:r>
    </w:p>
    <w:p>
      <w: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