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https://www.cnmc.es/expedientes/c141423</w:t>
      </w:r>
    </w:p>
    <w:p>
      <w:r>
        <w:t>Pages translated : 2</w:t>
      </w:r>
    </w:p>
    <w:p/>
    <w:p>
      <w:r>
        <w:rPr>
          <w:b/>
        </w:rPr>
        <w:t>[Pages 1–2]</w:t>
      </w:r>
    </w:p>
    <w:p>
      <w:r>
        <w:t>C/1414/23 RANDSTAD/ SGS RESOLUTION FILE RANDSTAD/ SGS (C/1414/23) COUNCIL. COMPETITION CHAMBER President Ms. Cani Fernández Vicién Councilors Ms. María Jesús Martín Martínez Mr. Bernardo Lorenzo Almendros Mr. Xabier Ormaetxea Garai Secretary of the Council Mr. Miguel Bordiu Garcia-Ovies In Madrid, on October 11, 2023 The Competition Chamber has analyzed the merger file processed in accordance with Law 15/2007, of July 3, on the Defense of Competition, consisting of the acquisition by Randstad España S.L.U., of exclusive control over Stock Uno Grupo de Servicios, S.L. In accordance with the report and proposal submitted by the Competition Directorate, the Competition Chamber has resolved, in application of article 57.2.a) of the aforementioned Law 15/2007, of July 3, to authorize the aforementioned merger operation. Likewise, taking into account the practice of the CNMC and what is established in the Commission Communication on restrictions directly linked to the execution of a merger and necessary for that purpose (2005/C 56/03); this Chamber considers that in the present case, the material scope of the non-compete clause exceeds what is included in the aforementioned Communication, regarding the prohibition on the seller from acquiring non-controlling stakes in competing companies of the acquired entity, going beyond what is reasonably required by the notified merger operation and should not be considered necessary or ancillary, thus remaining subject to the general regulations applicable to agreements between companies. All of this in accordance with what is indicated in the aforementioned report proposal from the Competition Directorate. 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