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https://www.cnmc.es/expedientes/c141523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C/1415/23  </w:t>
        <w:br/>
        <w:t xml:space="preserve">COSTA BLANCA / GRUPO FUERTES / MARINA D'OR  </w:t>
        <w:br/>
        <w:t xml:space="preserve">RESOLUTION  </w:t>
        <w:br/>
        <w:t xml:space="preserve">FILE COSTA BLANCA/GRUPO FUERTES/MARINA D'OR  </w:t>
        <w:br/>
        <w:t xml:space="preserve">(C/1415/23)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Counselors  </w:t>
        <w:br/>
        <w:t xml:space="preserve">Ms. María Jesús Martín Martínez  </w:t>
        <w:br/>
        <w:t xml:space="preserve">Mr. Bernardo Lorenzo Almendros  </w:t>
        <w:br/>
        <w:t xml:space="preserve">Mr. Xabier Ormaetxea Garai  </w:t>
        <w:br/>
        <w:t xml:space="preserve">Secretary of the Council  </w:t>
        <w:br/>
        <w:t xml:space="preserve">Mr. Miguel Bordiu Garcia-Ovies  </w:t>
        <w:br/>
        <w:t xml:space="preserve">In Madrid, on September 27, 2023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consisting of the acquisition by COSTA BLANCA and GRUPO FUERTES  </w:t>
        <w:br/>
        <w:t xml:space="preserve">of joint control over MARINA D'OR. In accordance with the report and the  </w:t>
        <w:br/>
        <w:t xml:space="preserve">proposal submitted by the Competition Directorate, the Competition Chamber  </w:t>
        <w:br/>
        <w:t xml:space="preserve">has resolved, in application of article 57.2.a) of the aforementioned Law 15/2007, of  </w:t>
        <w:br/>
        <w:t xml:space="preserve">July 3, to authorize the said concentration operation.  </w:t>
        <w:br/>
        <w:t xml:space="preserve">This Resolution shall be communicated to the Competition Directorate of the  </w:t>
        <w:br/>
        <w:t xml:space="preserve">National Commission of Markets and Competition and notified to the interested party,  </w:t>
        <w:br/>
        <w:t xml:space="preserve">informing them that it concludes the administrative procedure and that a  </w:t>
        <w:br/>
        <w:t xml:space="preserve">contentious-administrative appeal may be filed against it before the National  </w:t>
        <w:br/>
        <w:t xml:space="preserve">Court, within two months from the day following its notification.  </w:t>
        <w:br/>
        <w:t xml:space="preserve">National Commission of Markets and Competition 1 of 1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