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https://www.cnmc.es/expedientes/c141623</w:t>
      </w:r>
    </w:p>
    <w:p>
      <w:r>
        <w:t>Pages translated : 2</w:t>
      </w:r>
    </w:p>
    <w:p/>
    <w:p>
      <w:r>
        <w:rPr>
          <w:b/>
        </w:rPr>
        <w:t>[Pages 1–2]</w:t>
      </w:r>
    </w:p>
    <w:p>
      <w:r>
        <w:t xml:space="preserve">C/1416/23  </w:t>
        <w:br/>
        <w:t xml:space="preserve">SERVEO / SACYR FACILITIES  </w:t>
        <w:br/>
        <w:t xml:space="preserve">RESOLUTION  </w:t>
        <w:br/>
        <w:t xml:space="preserve">FILE SERVEO / SACYR FACILITIES  </w:t>
        <w:br/>
        <w:t xml:space="preserve">(C/1416/23)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October 25, 2023</w:t>
      </w:r>
    </w:p>
    <w:p>
      <w:r>
        <w:t>The Competition Chamber has analyzed the concentration file processed in accordance with Law 15/2007, of July 3, on the Defense of Competition, consisting of the acquisition of exclusive control by SERVEO SERVICIOS, S.A.U over Sacyr Facilities. In accordance with the report and proposal submitted by the Competition Directorate, the Competition Chamber has resolved, in application of article 57.2.a) of the aforementioned Law 15/2007, of July 3, to authorize the aforementioned concentration operation.</w:t>
      </w:r>
    </w:p>
    <w:p>
      <w:r>
        <w:t xml:space="preserve">Likewise, taking into account the practice of the CNMC and what is established in the Commission Communication on restrictions directly linked to the execution of a concentration and necessary for that purpose (2005/C 56/03); this Chamber considers that, in the present case,  </w:t>
        <w:br/>
        <w:t xml:space="preserve">(i) the material scope of the non-compete clause exceeds what is included in the aforementioned Communication regarding the prohibition on the seller acquiring non-controlling interests in competing companies of the acquired company and as it applies to the acquiring party,  </w:t>
        <w:br/>
        <w:t xml:space="preserve">(ii) the temporal scope of the confidentiality clause exceeds to the extent that it surpasses the 2 years established by the aforementioned Communication; and  </w:t>
        <w:br/>
        <w:t>(iii) the material scope of the non-solicitation clause exceeds as it applies to the acquiring party, going beyond what is reasonably required by the notified concentration operation and should not be considered necessary or accessory, thus remaining subject to the general regulations applicable to agreements between companies.</w:t>
      </w:r>
    </w:p>
    <w:p>
      <w:r>
        <w:t>All of this in accordance with what is indicated in the aforementioned report proposal from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