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https://www.cnmc.es/expedientes/c141823</w:t>
      </w:r>
    </w:p>
    <w:p>
      <w:r>
        <w:t>Pages translated : 1</w:t>
      </w:r>
    </w:p>
    <w:p/>
    <w:p>
      <w:r>
        <w:rPr>
          <w:b/>
        </w:rPr>
        <w:t>[Pages 1–1]</w:t>
      </w:r>
    </w:p>
    <w:p>
      <w:r>
        <w:t xml:space="preserve">C/1418/23  </w:t>
        <w:br/>
        <w:t xml:space="preserve">CARREFOUR / ACTIVOS SUPERCOR  </w:t>
        <w:br/>
        <w:t xml:space="preserve">RESOLUTION  </w:t>
        <w:br/>
        <w:t xml:space="preserve">FILE CARREFOUR / ACTIVOS SUPERCOR  </w:t>
        <w:br/>
        <w:t xml:space="preserve">(C/1418/23)  </w:t>
        <w:br/>
        <w:t>COUNCIL. COMPETITION CHAMBER</w:t>
      </w:r>
    </w:p>
    <w:p>
      <w:r>
        <w:t xml:space="preserve">President  </w:t>
        <w:br/>
        <w:t>Ms. Cani Fernández Vicién</w:t>
      </w:r>
    </w:p>
    <w:p>
      <w:r>
        <w:t xml:space="preserve">Councilors  </w:t>
        <w:br/>
        <w:t xml:space="preserve">Ms. María Jesús Martín Martínez  </w:t>
        <w:br/>
        <w:t xml:space="preserve">Mr. Bernardo Lorenzo Almendros  </w:t>
        <w:br/>
        <w:t>Mr. Xabier Ormaetxea Garai</w:t>
      </w:r>
    </w:p>
    <w:p>
      <w:r>
        <w:t xml:space="preserve">Secretary of the Council  </w:t>
        <w:br/>
        <w:t>Mr. Miguel Bordiu Garcia-Ovies</w:t>
      </w:r>
    </w:p>
    <w:p>
      <w:r>
        <w:t>In Madrid, on November 22, 2023</w:t>
      </w:r>
    </w:p>
    <w:p>
      <w:r>
        <w:t>The Competition Chamber has analyzed the concentration file processed in accordance with Law 15/2007, of July 3, on the Defense of Competition, consisting of the acquisition by Supersol Spain S.L.U., an entity wholly owned by Grupo Carrefour S.A., of exclusive control over the assets linked to the operation of 47 retail distribution establishments currently under the exclusive control of Supercor S.A. In accordance with the report and proposal submitted by the Directorate of Competition, the Competition Chamber has resolved, applying Article 57.2.a) of the aforementioned Law 15/2007, of July 3, to authorize the said concentration operation.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