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https://www.cnmc.es/expedientes/c141923</w:t>
      </w:r>
    </w:p>
    <w:p>
      <w:r>
        <w:t>Pages translated : 2</w:t>
      </w:r>
    </w:p>
    <w:p/>
    <w:p>
      <w:r>
        <w:rPr>
          <w:b/>
        </w:rPr>
        <w:t>[Pages 1–2]</w:t>
      </w:r>
    </w:p>
    <w:p>
      <w:r>
        <w:t xml:space="preserve">C/1419/23  </w:t>
        <w:br/>
        <w:t xml:space="preserve">BLUEVÍA / EXCOM ASSETS  </w:t>
        <w:br/>
        <w:t xml:space="preserve">RESOLUTION  </w:t>
        <w:br/>
        <w:t xml:space="preserve">FILE BLUEVÍA / EXCOM ASSETS  </w:t>
        <w:br/>
        <w:t xml:space="preserve">(C/1419/23)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November 29, 2023</w:t>
      </w:r>
    </w:p>
    <w:p>
      <w:r>
        <w:t>The Competition Chamber has analyzed the merger file processed in accordance with Law 15/2007, of July 3, on the Defense of Competition, consisting of the acquisition by Bluevía Fibra, S.L. (BLUEVÍA), a fully functional joint venture controlled jointly by Telefónica, S.A. (TELEFÓNICA) and the foreign investment funds Predica Prévoyance Dialogue du Crédit Agricole, S.A. (PREDICA) and Vauban Infrastructure Partners SCA (VAUBAN), of the exclusive control of a set of assets (ACQUIRED ASSETS) consisting of two FTTH1 fiber optic networks located in Granada owned by the company Free Technologies Excom, S.L. (EXCOM). In accordance with the report and proposal submitted by the Competition Directorate, the Competition Chamber has resolved, under the application of Article 57.2.a) of the aforementioned Law 15/2007, of July 3, to authorize the aforementioned merger operation.</w:t>
      </w:r>
    </w:p>
    <w:p>
      <w:r>
        <w:t>Likewise, taking into account the practice of the CNMC and what is established in the Commission Communication on restrictions directly linked to the execution of a merger and necessary for that purpose (2005/C 56/03); this Chamber considers that, in the present case, the non-compete clause included in the purchase agreement, to the extent that it exceeds two years, should be excluded from the authorization, remaining subject to the regulations on agreements between companies.</w:t>
      </w:r>
    </w:p>
    <w:p>
      <w:r>
        <w:t>Regarding the purchase and supply obligation agreement (referred to as the "Services Agreement"), as it is pending negotiation and signature, and due to the lack of sufficient information at this time to assess its ancillary nature, it remains subject to the regulations on agreements between companies in all that exceeds, both in its content and duration, what is established in the aforementioned Communication.</w:t>
      </w:r>
    </w:p>
    <w:p>
      <w:r>
        <w:t>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process and that a contentious-administrative appeal can be filed against it before the National Court, within two months from the day following its notification.  </w:t>
        <w:br/>
        <w:t xml:space="preserve">Comisión Nacional de los Mercados y la Competencia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