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https://www.cnmc.es/expedientes/c142023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C/1420/23  </w:t>
        <w:br/>
        <w:t xml:space="preserve">SME / ALTAFONTE  </w:t>
        <w:br/>
        <w:t xml:space="preserve">RESOLUTION  </w:t>
        <w:br/>
        <w:t xml:space="preserve">CASE FILE SME SPAIN / ALTAFONTE  </w:t>
        <w:br/>
        <w:t xml:space="preserve">(C/1420/23)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Madrid, on November 29, 2023  </w:t>
        <w:br/>
        <w:t xml:space="preserve">The Competition Chamber has analyzed the concentration case file processed  </w:t>
        <w:br/>
        <w:t xml:space="preserve">in accordance with Law 15/2007, of July 3, on the Defense of Competition,  </w:t>
        <w:br/>
        <w:t xml:space="preserve">consisting of the acquisition of exclusive control of Altafonte Network, S.L.U.  </w:t>
        <w:br/>
        <w:t xml:space="preserve">(Altafonte) by Sony Music Entertainment España, S.L. (SME España), a company  </w:t>
        <w:br/>
        <w:t xml:space="preserve">100% controlled by Sony Group Corporation (Sony Group), through the  </w:t>
        <w:br/>
        <w:t xml:space="preserve">acquisition of 100% of the shares of Altafonte. According to the report and  </w:t>
        <w:br/>
        <w:t xml:space="preserve">the proposal submitted by the Directorate of Competition, the Competition Chamber  </w:t>
        <w:br/>
        <w:t xml:space="preserve">has resolved, in application of Article 57.2.a) of the aforementioned Law 15/2007, of  </w:t>
        <w:br/>
        <w:t xml:space="preserve">July 3, to authorize the aforementioned concentration operation.  </w:t>
        <w:br/>
        <w:t xml:space="preserve">This Resolution shall be communicated to the Directorate of Competition of the  </w:t>
        <w:br/>
        <w:t xml:space="preserve">National Commission on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National Court,  </w:t>
        <w:br/>
        <w:t xml:space="preserve">within two months from the day following its notification.  </w:t>
        <w:br/>
        <w:t xml:space="preserve">National Commission on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