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https://www.cnmc.es/expedientes/c142123</w:t>
      </w:r>
    </w:p>
    <w:p>
      <w:r>
        <w:t>Pages translated : 2</w:t>
      </w:r>
    </w:p>
    <w:p/>
    <w:p>
      <w:r>
        <w:rPr>
          <w:b/>
        </w:rPr>
        <w:t>[Pages 1–2]</w:t>
      </w:r>
    </w:p>
    <w:p>
      <w:r>
        <w:t>C/1421/23 BSC / B. BRAUN ASSETS RESOLUTION FILE BSC / B. BRAUN ASSETS (C/1421/23) COUNCIL. COMPETITION CHAMBER President Ms. Cani Fernández Vicién Councilors Ms. María Jesús Martín Martínez Mr. Bernardo Lorenzo Almendros Mr. Xabier Ormaetxea Garai Secretary of the Council Mr. Miguel Bordiu Garcia-Ovies In Madrid, February 21, 2024 The Competition Chamber has analyzed the merger file processed in accordance with Law 15/2007, of July 3, on the Defense of Competition, consisting of the acquisition by BOSTON SCIENTIFIC CORPORATION, through its wholly-owned subsidiaries, of certain endoscopic or endoluminal vacuum therapy assets along with all rights and permits over them, owned by B. BRAUN SURGICAL S.A. and AESCULAP AG, both indirect subsidiaries of the B. BRAUN Group. In accordance with the report and proposal submitted by the Competition Directorate, the Competition Chamber has resolved, under the application of Article 57.2.b) of the aforementioned Law 15/2007, of July 3, to authorize the said concentration operation subject to the fulfillment of the commitments presented by the notifying party on February 14, 2024. Likewise, taking into account the practice of the CNMC and what is established in the Commission Communication on restrictions directly linked to the execution of a concentration and necessary for that purpose (2005/C 56/03); this Chamber considers that, in the present case, it will not be considered as ancillary or necessary for the operation, thus remaining subject to the National Commission of Markets and Competition regulations on agreements between companies, the duration of non-competition and confidentiality clauses regarding commercial information, in all that exceeds three (3) years and the content of the non-competition clause concerning the geographical scope of application, in all that exceeds those territories in which the transferred assets were present as well as any restriction that prevents the acquisition or holding of shares in a company, for exclusively financial investment purposes that do not confer directly or indirectly management functions or substantial influence in the competing company. All of this in accordance with what is indicated in the aforementioned report proposal from the Competition Directorate. 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 National Commission of Markets and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