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https://www.cnmc.es/expedientes/c142323</w:t>
      </w:r>
    </w:p>
    <w:p>
      <w:r>
        <w:t>Pages translated : 2</w:t>
      </w:r>
    </w:p>
    <w:p/>
    <w:p>
      <w:r>
        <w:rPr>
          <w:b/>
        </w:rPr>
        <w:t>[Pages 1–2]</w:t>
      </w:r>
    </w:p>
    <w:p>
      <w:r>
        <w:t>C/1423/23 DFDS / FRS RESOLUTION FILE DFDS / FRS SPAIN (C/1423/23) COUNCIL. COMPETITION CHAMBER President Ms. Cani Fernández Vicién Councilors Ms. María Jesús Martín Martínez Mr. Bernardo Lorenzo Almendros Mr. Xabier Ormaetxea Garai Secretary of the Council Mr. Miguel Bordiu Garcia-Ovies In Madrid, on December 1, 2023 The Competition Chamber has analyzed the merger file processed in accordance with Law 15/2007, of July 3, on the Defense of Competition, consisting of the acquisition of exclusive control by DFDS A/S (“DFDS”) over several subsidiaries controlled by the company Förde Reederei Seetouristik Europe Holding GmbH (“FRS”). Specifically, DFDS acquires control of the following FRS subsidiaries: (i) the Spanish company FRS Iberia S.L.U. (“FRS Iberia”); (ii) the companies headquartered in Cyprus Paschamo Shipping Company Ltd. (“PASCHAMO”) and Nifesos Shipping Company Ltd. (“NIFESOS”), both inactive in Spain, and (iii) Red Fish Speedline S.A.R.L. (“RED FISH”), based in Morocco, but with part of its activity in Spain. According to the report and proposal submitted by the Directorate of Competition, the Competition Chamber has resolved, in application of Article 57.2.a) of the aforementioned Law 15/2007, of July 3, to authorize the aforementioned merger operation. National Commission of Markets and Competition 1 of 2 C/ Alcalá, 47 – 28014 Madrid - C/ Bolivia, 56 – 08018 Barcelona www.cnmc.es C/1423/23 DFDS / FRS 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