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https://www.cnmc.es/expedientes/c142423</w:t>
      </w:r>
    </w:p>
    <w:p>
      <w:r>
        <w:t>Pages translated : 8</w:t>
      </w:r>
    </w:p>
    <w:p/>
    <w:p>
      <w:r>
        <w:rPr>
          <w:b/>
        </w:rPr>
        <w:t>[Pages 1–3]</w:t>
      </w:r>
    </w:p>
    <w:p>
      <w:r>
        <w:t xml:space="preserve">C/1424/23  </w:t>
        <w:br/>
        <w:t>SMURFIT BULGARIA/ARTEMIS BIB</w:t>
      </w:r>
    </w:p>
    <w:p>
      <w:r>
        <w:t xml:space="preserve">RESOLUTION  </w:t>
        <w:br/>
        <w:t xml:space="preserve">FILE SMURFIT BULGARIA / ARTEMIS BIB  </w:t>
        <w:br/>
        <w:t>(C/1424/23)</w:t>
      </w:r>
    </w:p>
    <w:p>
      <w: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Mr. Miguel Bordiu García-Ovies</w:t>
      </w:r>
    </w:p>
    <w:p>
      <w:r>
        <w:t>In Madrid, on May 29, 2024</w:t>
      </w:r>
    </w:p>
    <w:p>
      <w:r>
        <w:t>The Competition Chamber of the National Commission on Markets and Competition, with the composition expressed, by virtue of Article 58 of Law 15/2007, of July 3, on the Defense of Competition (hereinafter LDC), has issued a resolution in file C/1424/23, SMURFIT BULGARIA / ARTEMIS BIB, regarding the acquisition of exclusive control of the bag-in-box business unit of the Bulgarian company ARTEMIS OOD by SMURFIT KAPPA BULGARIA OOD.</w:t>
      </w:r>
    </w:p>
    <w:p>
      <w:r>
        <w:t xml:space="preserve">National Commission on Markets and Competition  </w:t>
        <w:br/>
        <w:t xml:space="preserve">C/ Alcalá, 47 – 28014 Madrid - C/ Bolivia, 56 – 08018 Barcelona  </w:t>
        <w:br/>
        <w:t>www.cnmc.es</w:t>
      </w:r>
    </w:p>
    <w:p>
      <w:r>
        <w:t xml:space="preserve">C/1424/23  </w:t>
        <w:br/>
        <w:t>SMURFIT BULGARIA/ARTEMIS BIB</w:t>
      </w:r>
    </w:p>
    <w:p>
      <w:r>
        <w:t>1. BACKGROUND</w:t>
      </w:r>
    </w:p>
    <w:p>
      <w:r>
        <w:t>(1) On November 23, 2023, the National Commission on Markets and Competition (CNMC) received notification of the concentration operation consisting of the acquisition of exclusive control of the bag-in-box business unit of the Bulgarian company ARTEMIS OOD by SMURFIT KAPPA BULGARIA OOD, which will be carried out through the acquisition of 100% of the share capital of said business unit.</w:t>
      </w:r>
    </w:p>
    <w:p>
      <w:r>
        <w:t>(2) In accordance with Article 57.1 of Law 15/2007, of July 3, on the Defense of Competition (LDC), this Competition Directorate (DC) formed a file and prepared the corresponding report on the operation along with a proposed resolution. The CNMC Council issued a resolution on January 31, 2024, in the first phase, in which it agreed to initiate the second phase of the procedure in accordance with Article 57.2.c) of the LDC, considering that the aforementioned concentration operation could hinder the maintenance of effective competition in all or some of the analyzed markets.</w:t>
      </w:r>
    </w:p>
    <w:p>
      <w:r>
        <w:t>(3) In application of Article 58.1 of the LDC, the DC prepared a brief note on the concentration which, on February 2, 2024, was made public on the CNMC website and communicated to the notifying party, the Council of Consumers and Users, and third-party operators, so that they could submit their allegations within a period of 10 days. No allegations or requests to be considered an interested party were received.</w:t>
      </w:r>
    </w:p>
    <w:p>
      <w:r>
        <w:t>(4) On February 1, 2024, the DC made a request for information to six competing operators of the parties, which resulted in the suspension of the deadline to resolve the procedure. The last response to this was received on March 26, 2024.</w:t>
      </w:r>
    </w:p>
    <w:p>
      <w:r>
        <w:t>(5) On February 14, 2024, the DC made a request for information to the parties regarding their sales, distribution systems, facilities, production capacities, inputs, and competitors, which resulted in the suspension of the deadline to resolve the procedure. The response to this request for information was received on March 6, 2024.</w:t>
      </w:r>
    </w:p>
    <w:p>
      <w:r>
        <w:t>(6) On February 21, 2024, the DC made a new request for information to the notifying party regarding the internal structure of the SMURFIT KAPPA group and the departments responsible for the operation, which resulted in the suspension of the deadline to resolve the procedure. The response to the aforementioned request for information was received on March 6, 2024.</w:t>
      </w:r>
    </w:p>
    <w:p>
      <w:r>
        <w:t>(7) On February 26, 2024, the DC made an additional request for information to third-party operators, which resulted in the suspension of the deadline to resolve the procedure. The response to the aforementioned request was received on March 12, 2024.</w:t>
      </w:r>
    </w:p>
    <w:p>
      <w:r>
        <w:t>(8) On March 6, 2024, the DC made another request for information to direct competitors of the parties, resulting in the suspension of the deadline to resolve the procedure. The last response to the aforementioned request was received on April 1, 2024.</w:t>
      </w:r>
    </w:p>
    <w:p>
      <w:r>
        <w:t>(9) On March 8, 2024, the DC made a new request for information to the parties requesting detailed information about customers, which resulted in the suspension of the deadline to resolve the procedure. The response to the aforementioned request for information was received on March 22, 2024.</w:t>
      </w:r>
    </w:p>
    <w:p>
      <w:r>
        <w:t>(10) On March 20, 2024, the DC sent the notifying party an additional request for the content of certain corporate mailboxes associated with individuals responsible for the design and strategy of the operation, which resulted in the suspension of the deadline to resolve the procedure. The response to the request for information was received on April 12, 2024.</w:t>
      </w:r>
    </w:p>
    <w:p>
      <w:r>
        <w:t>(11) On April 11, 2024, the DC conducted a survey to gather information from the parties' customers, granting 8 business days for their response. The survey closed on April 24, 2024.</w:t>
      </w:r>
    </w:p>
    <w:p>
      <w:r>
        <w:t>(12) On April 11 and 25, 2024, the DC notified two requests for information to a third party, necessary for an adequate assessment, causing the suspension of the deadline to resolve the procedure. The responses to the aforementioned requests were received on May 9, 2024.</w:t>
      </w:r>
    </w:p>
    <w:p>
      <w:r>
        <w:t>(13) On May 9, 2024, the DC agreed to lift the suspension of the resolution deadline of the procedure.</w:t>
      </w:r>
    </w:p>
    <w:p>
      <w:r>
        <w:t>(14) On May 23, 2024, SMURFIT KAPPA BULGARIA OOD submitted a formal proposal of commitments for the present operation in accordance with the provisions of Article 59 of the LDC.</w:t>
      </w:r>
    </w:p>
    <w:p>
      <w:r>
        <w:t>(15) On May 24, 2024, the DC submitted its proposed report to the CNMC Council, in accordance with the provisions of Article 58 of Law 15/2007, of July 3, on the Defense of Competition.</w:t>
      </w:r>
    </w:p>
    <w:p>
      <w:r>
        <w:t>(16) The Competition Chamber of the CNMC Council deliberated and ruled on the matter in its meeting on May 29, 2024.</w:t>
      </w:r>
    </w:p>
    <w:p>
      <w:r>
        <w:t xml:space="preserve">National Commission on Markets and Competition  </w:t>
        <w:br/>
        <w:t xml:space="preserve">C/ Alcalá, 47 – 28014 Madrid - C/ Bolivia, 56 – 08018 Barcelona  </w:t>
        <w:br/>
        <w:t>www.cnmc.es</w:t>
      </w:r>
    </w:p>
    <w:p>
      <w:r>
        <w:rPr>
          <w:b/>
        </w:rPr>
        <w:t>[Pages 4–6]</w:t>
      </w:r>
    </w:p>
    <w:p>
      <w:r>
        <w:t xml:space="preserve">C/1424/23  </w:t>
        <w:br/>
        <w:t>SMURFIT BULGARIA/ARTEMIS BIB</w:t>
      </w:r>
    </w:p>
    <w:p>
      <w:r>
        <w:t>2. LEGAL BASIS</w:t>
      </w:r>
    </w:p>
    <w:p>
      <w:r>
        <w:t>2.1.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w:t>
      </w:r>
    </w:p>
    <w:p>
      <w:r>
        <w:t>2.2. In accordance with the provisions of Article 59 of the LDC, in order to resolve the obstacles to maintaining effective competition that may arise from the notified concentration operation, on May 23, 2024, SMURFIT KAPPA BULGARIA OOD submitted, within the established deadline, a proposal for commitments under Article 59 of the LDC, aimed at resolving the obstacles to maintaining effective competition that may arise from the notified concentration operation, consisting of maintaining the supply of bag-in-box type bags and caps/taps to ARTEMIS's sole customer in Spain, CARTOBOL, under the same conditions as those previously supplied by ARTEMIS prior to the operation from the resolution approving this concentration operation until December 31, 2026, with prices subject to a review mechanism for the years 2025 and 2026.</w:t>
      </w:r>
    </w:p>
    <w:p>
      <w:r>
        <w:t xml:space="preserve">As stated in the proposal report prepared by the DC, the content of the proposed commitments is as follows:  </w:t>
        <w:br/>
        <w:t xml:space="preserve">“FIRST COMMITMENT: SUPPLY TO CARTOBOL OF BAG-IN-BOX TYPE BAGS AND VITOP© STANDARD AND VITOP UNO© CAPS/TAPS TO CARTOBOL UNDER CONDITIONS COMPARABLE TO THOSE OFFERED BY ARTEMIS  </w:t>
        <w:br/>
        <w:t xml:space="preserve">The SMURFIT KAPPA group commits to maintain the supply of bag-in-box type bags under the following conditions:  </w:t>
        <w:br/>
        <w:t xml:space="preserve">a) Prices for bag-in-box type bags:  </w:t>
        <w:br/>
        <w:t xml:space="preserve">The supply of bag-in-box type bags to CARTOBOL will be made in accordance with the list of references and prices attached as Document 1 to these commitments. The references correspond to those supplied by ARTEMIS to CARTOBOL in the past.  </w:t>
        <w:br/>
        <w:t xml:space="preserve">Regarding the prices, the starting prices correspond to those currently applied by ARTEMIS to CARTOBOL for each type of bag according to its capacity, characteristics, and the cap/tap attached to it. Until the end of 2024, the Smurfit Kappa Group will maintain for CARTOBOL the same prices that were offered by ARTEMIS to CARTOBOL under the terms and conditions established in the Commitment. The mentioned prices are included in Document 1 attached to the proposal of commitments.  </w:t>
        <w:br/>
        <w:t xml:space="preserve">For bag-in-box type bags with a capacity of 3 liters or less that have the Vitop Uno© cap/tap attached, the price per unit has a surcharge of [CONFIDENTIAL] euros.  </w:t>
        <w:br/>
        <w:t xml:space="preserve">In addition to the listed references, CARTOBOL may request from the SMURFIT KAPPA group:  </w:t>
        <w:br/>
        <w:t xml:space="preserve">(i) [CONFIDENTIAL]  </w:t>
        <w:br/>
        <w:t xml:space="preserve">(ii) [CONFIDENTIAL]  </w:t>
        <w:br/>
        <w:t xml:space="preserve">b) Price review mechanism:  </w:t>
        <w:br/>
        <w:t xml:space="preserve">For the years 2025 and 2026, the prices of bag-in-box type bags for CARTOBOL will be reviewed annually taking into account the ICIS Petrochemical index, which tracks the evolution of plastic raw material costs, and the Labour Cost Index (LCI).  </w:t>
        <w:br/>
        <w:t xml:space="preserve">Specifically:  </w:t>
        <w:br/>
        <w:t xml:space="preserve">a. [CONFIDENTIAL]  </w:t>
        <w:br/>
        <w:t xml:space="preserve">b. [CONFIDENTIAL]  </w:t>
        <w:br/>
        <w:t xml:space="preserve">c. [CONFIDENTIAL]  </w:t>
        <w:br/>
        <w:t xml:space="preserve">c) Supply volume of bag-in-box type bags:  </w:t>
        <w:br/>
        <w:t xml:space="preserve">The supply of bag-in-box type bags to CARTOBOL with the Vitop Uno© cap/tap may not exceed [CONFIDENTIAL] units per month. This monthly supply limit of bag-in-box type bags will reset on the first of each month and will be reviewed annually.  </w:t>
        <w:br/>
        <w:t xml:space="preserve">This limit does not operate as a purchase obligation for CARTOBOL, but as a supply limit for the SMURFIT KAPPA group, which commits to supply CARTOBOL each month up to [CONFIDENTIAL] bag-in-box type bags with the Vitop Uno© cap/tap.  </w:t>
        <w:br/>
        <w:t xml:space="preserve">The supply limit will be reviewed annually and may be removed if the SMURFIT KAPPA group no longer considers it necessary.  </w:t>
        <w:br/>
        <w:t xml:space="preserve">d) Quality and regulatory compliance of bag-in-box type bags and Vitop© standard and Vitop Uno© caps/taps:  </w:t>
        <w:br/>
        <w:t xml:space="preserve">From July 3, 2024, all bag-in-box type bags of 2.25L, 3L, and 5L and Vitop© and Vitop Uno© caps/taps supplied by the SMURFIT KAPPA group to CARTOBOL will comply with Directive (EU) 2019/904 of the European Parliament and of the Council of June 5, 2019, on the reduction of the impact of certain plastic products on the environment.  </w:t>
        <w:br/>
        <w:t xml:space="preserve">In any case, the products supplied by the SMURFIT KAPPA group to CARTOBOL will always comply with the applicable legal regulations in the European Economic Area.  </w:t>
        <w:br/>
        <w:t xml:space="preserve">e) Brands/identifying signs of the SMURFIT KAPPA group:  </w:t>
        <w:br/>
        <w:t xml:space="preserve">The bag-in-box type bags supplied by the SMURFIT KAPPA group to CARTOBOL will be supplied without any brand or identifying sign that could link them to the SMURFIT KAPPA group.  </w:t>
        <w:br/>
        <w:t xml:space="preserve">This will not apply to the caps/taps supplied by the SMURFIT KAPPA group to CARTOBOL.  </w:t>
        <w:br/>
        <w:t xml:space="preserve">f) Delivery and payment conditions:  </w:t>
        <w:br/>
        <w:t xml:space="preserve">The supply of bag-in-box type bags to CARTOBOL will be made in accordance with the following delivery and payment conditions:  </w:t>
        <w:br/>
        <w:t xml:space="preserve">- [CONFIDENTIAL].  </w:t>
        <w:br/>
        <w:t xml:space="preserve">g) Supply contract:  </w:t>
        <w:br/>
        <w:t xml:space="preserve">The conditions established in this Commitment will be included in the supply contract agreed upon by the SMURFIT KAPPA group and CARTOBOL (“the Supply Contract”).  </w:t>
        <w:br/>
        <w:t xml:space="preserve">The Supply Contract will establish a clause specifying that CARTOBOL may only sell the bag-in-box type bags supplied by the SMURFIT KAPPA group to customers located in Spain. Upon knowledge of the breach of this clause, the Supply Contract must allow the CNMC, once the breach is verified, to authorize the termination of the Supply Contract under the conditions agreed upon in this Commitment.  </w:t>
        <w:br/>
        <w:t xml:space="preserve">h) Duration of the commitment:  </w:t>
        <w:br/>
        <w:t xml:space="preserve">The Commitment will be valid from the resolution approving this operation until December 31, 2026.  </w:t>
        <w:br/>
        <w:t xml:space="preserve">SECOND COMMITMENT: OBLIGATIONS TO INFORM THE CNMC.  </w:t>
        <w:br/>
        <w:t>In order for the CNMC to monitor and oversee compliance with the Commitment, the SMURFIT KAPPA group will send to the DC, during the validity of the Commitment, the following information annually:</w:t>
      </w:r>
    </w:p>
    <w:p>
      <w:r>
        <w:rPr>
          <w:b/>
        </w:rPr>
        <w:t>[Pages 7–8]</w:t>
      </w:r>
    </w:p>
    <w:p>
      <w:r>
        <w:t xml:space="preserve">C/1424/23  </w:t>
        <w:br/>
        <w:t>SMURFIT BULGARIA/ARTEMIS BIB</w:t>
      </w:r>
    </w:p>
    <w:p>
      <w:r>
        <w:t xml:space="preserve">(i) List of orders for bag-in-box type bags from CARTOBOL, distinguishing by the capacity of the bag-in-box and type of cap/tap attached.  </w:t>
        <w:br/>
        <w:t xml:space="preserve">(ii) Annual price list of the SMURFIT KAPPA group for CARTOBOL, according to the capacity of the bag-in-box type bags and the requested cap/tap.  </w:t>
        <w:br/>
        <w:t xml:space="preserve">(iii) Information on the portion of the product price corresponding to labor, which will be updated according to inflation data obtained from the LCI index in the event that the variation exceeds [CONFIDENTIAL] compared to the previous year.  </w:t>
        <w:br/>
        <w:t>(iv) Information on the status of the installed production capacity for the Vitop Uno© cap/tap, and restrictions of that capacity in cases where it cannot meet the quantities of bag-in-box type bags of up to 3L capacity demanded by CARTOBOL. This information must allow the CNMC to verify that it is not technically possible to meet this increase in demand compared to the previous year.</w:t>
      </w:r>
    </w:p>
    <w:p>
      <w:r>
        <w:t>Notwithstanding the previous obligation, the CNMC may, in any case, request additional information from the parties deemed necessary for the performance of monitoring functions, in accordance with the provisions of Articles 39 and 41 of the LDC.</w:t>
      </w:r>
    </w:p>
    <w:p>
      <w:r>
        <w:t>Having analyzed the proposed report prepared by the DC and in accordance with the aforementioned, this Chamber proposes to subordinate the present concentration C/1424/23 to the fulfillment of the commitments presented by SMURFIT KAPPA BULGARIA OOD, without prejudice to the obligations that may apply, in accordance with the applicable regulations and sectoral regulations.</w:t>
      </w:r>
    </w:p>
    <w:p>
      <w:r>
        <w:t xml:space="preserve">Likewise, taking into account the practice of the CNMC and what is established in the Commission Communication on restrictions directly linked to the execution of a concentration and necessary for that purpose (2005/C 56/03); this Chamber considers that it will not be regarded as ancillary or necessary for the operation, thus remaining subject to the regulations on agreements between companies:  </w:t>
        <w:br/>
        <w:t xml:space="preserve">- the duration of the non-solicitation and non-compete clauses regarding the geographical scope of application in all that exceeds two (2) years as the Parties are present in the same markets and there has been no significant transfer of know-how;  </w:t>
        <w:br/>
        <w:t xml:space="preserve">- any restriction on holding shares in competing companies for the purpose of financial investment that does not confer control or decisive influence regardless of the percentage of participation.  </w:t>
        <w:br/>
        <w:t>- the content of the confidentiality clause in all that exceeds two (2) years regarding information necessary for the proper functioning of the acquired business.</w:t>
      </w:r>
    </w:p>
    <w:p>
      <w:r>
        <w:t xml:space="preserve">C/1424/23  </w:t>
        <w:br/>
        <w:t>SMURFIT BULGARIA/ARTEMIS BIB</w:t>
      </w:r>
    </w:p>
    <w:p>
      <w:r>
        <w:t>For all of which, in view of the cited legal provisions and those of general application, the Competition Chamber of the National Commission on Markets and Competition</w:t>
      </w:r>
    </w:p>
    <w:p>
      <w:r>
        <w:t>3. RESOLVES</w:t>
      </w:r>
    </w:p>
    <w:p>
      <w:r>
        <w:t>First. In accordance with Article 58.4 b) of Law 15/2007, of July 3, on the Defense of Competition, to subordinate the concentration C/1424/23 SMURFIT BULGARIA/ARTEMIS BIB to the fulfillment of the commitments presented by SMURFIT KAPPA BULGARIA OOD on May 23, 2024.</w:t>
      </w:r>
    </w:p>
    <w:p>
      <w:r>
        <w:t>Second. In accordance with the provisions of Article 58.6 of the LDC, this resolution shall be executive when any of the cases provided for in that article are met.</w:t>
      </w:r>
    </w:p>
    <w:p>
      <w:r>
        <w:t>Third. The non-compliance with the provisions of this resolution shall be considered a very serious infringement according to the provisions of Article 62.4. c) of the LDC.</w:t>
      </w:r>
    </w:p>
    <w:p>
      <w:r>
        <w:t>Fourth. By virtue of the provisions of Article 41.1 of the LDC, the monitoring of this resolution is entrusted to the Competition Directorate.</w:t>
      </w:r>
    </w:p>
    <w:p>
      <w:r>
        <w:t>Communicate this resolution to the Competition Directorate and to the Minister of Economy, Trade and Business, as provided for in Article 58.5 of the LDC. Likewise, notify the interested parties informing them that this resolution will not be effective, nor executive, nor will it conclude the administrative procedure if none of the two cases provided for in letters a) or b) of Article 58.6 of the LDC occur and that against it, if the administrative route is exhausted, a contentious-administrative appeal may be filed before the National Court within two months from the notification of the agreements or from the day on which the deadline for issuing them has elapsed, as provided for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