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https://www.cnmc.es/expedientes/c142523</w:t>
      </w:r>
    </w:p>
    <w:p>
      <w:r>
        <w:t>Pages translated : 2</w:t>
      </w:r>
    </w:p>
    <w:p/>
    <w:p>
      <w:r>
        <w:rPr>
          <w:b/>
        </w:rPr>
        <w:t>[Pages 1–2]</w:t>
      </w:r>
    </w:p>
    <w:p>
      <w:r>
        <w:t xml:space="preserve">C/1425/23  </w:t>
        <w:br/>
        <w:t xml:space="preserve">CASER SEGUROS / FPF PADRON  </w:t>
        <w:br/>
        <w:t xml:space="preserve">RESOLUTION  </w:t>
        <w:br/>
        <w:t xml:space="preserve">FILE CASER SEGUROS / FPF PADRON  </w:t>
        <w:br/>
        <w:t xml:space="preserve">(C/1425/23)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on December 1, 2023  </w:t>
        <w:br/>
        <w:t xml:space="preserve">The Competition Chamber has analyzed the concentration file processed in accordance with Law 15/2007, of July 3, on the Defense of Competition, consisting of the acquisition by Caja de Seguros Reunidos, Compañía de Seguros y Reaseguros, S.A., of exclusive control over Funerarias Pompas Fúnebres de Padrón, S.L.U. In accordance with the report and proposal submitted by the Competition Directorate, the Competition Chamber has resolved, under the application of Article 57.2.a) of the aforementioned Law 15/2007, of July 3, to authorize the said concentration operation.  </w:t>
        <w:br/>
        <w:t xml:space="preserve">Likewise, taking into account the practice of the CNMC and what is established in the Communication of the Commission regarding restrictions directly linked to the execution of a concentration and necessary for that purpose (2005/C 56/03); this Chamber considers that the scope of the non-compete clause regarding the prohibition on the seller from holding non-controlling interests in companies that compete in the markets where the acquired entity was present exceeds what is included in the aforementioned Communication, going beyond what is reasonably required by the notified concentration operation and should not be considered necessary or accessory, thus remaining subject to the general regulations applicable to agreements between companies. All of this in accordance with what is indicated in the aforementioned report proposal of the Competition Directorate.  </w:t>
        <w:br/>
        <w:t xml:space="preserve">This Resolution shall be communicated to the Competition Directorate of the National Commission on Markets and Competition and notified to the interested party,  </w:t>
        <w:br/>
        <w:t xml:space="preserve">NATIONAL COMMISSION ON MARKETS AND COMPETITION 1 of 2  </w:t>
        <w:br/>
        <w:t xml:space="preserve">C/ Alcalá, 47 – 28014 Madrid - C/ Bolivia, 56 – 08018 Barcelona  </w:t>
        <w:br/>
        <w:t>www.cnmc.es</w:t>
      </w:r>
    </w:p>
    <w:p>
      <w:r>
        <w:t xml:space="preserve">C/1425/23  </w:t>
        <w:br/>
        <w:t xml:space="preserve">CASER SEGUROS / FPF PADRON  </w:t>
        <w:br/>
        <w:t xml:space="preserve">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