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https://www.cnmc.es/expedientes/c142623</w:t>
      </w:r>
    </w:p>
    <w:p>
      <w:r>
        <w:t>Pages translated : 2</w:t>
      </w:r>
    </w:p>
    <w:p/>
    <w:p>
      <w:r>
        <w:rPr>
          <w:b/>
        </w:rPr>
        <w:t>[Pages 1–2]</w:t>
      </w:r>
    </w:p>
    <w:p>
      <w:r>
        <w:t>C/1426/23 JCDECAUX ESPAÑA / CLEAR CHANNEL ESPAÑA RESOLUTION FILE JCDECAUX ESPAÑA / CLEAR CHANNEL ESPAÑA (C/1426/23) COUNCIL. COMPETITION CHAMBER President Ms. Cani Fernández Vicién Councilors Ms. María Jesús Martín Martínez Mr. Bernardo Lorenzo Almendros Mr. Xabier Ormaetxea Garai Secretary of the Council Mr. Miguel Bordiu Garcia-Ovies In Madrid, on November 6, 20234 On February 21, 2024, the Competition Chamber agreed to initiate the second phase of the procedure, in accordance with Article 57.2.c) of the aforementioned Law, considering that the cited operation could hinder the maintenance of effective competition in all or some of the analyzed markets. On June 5, 2024, the Competition Directorate prepared and notified a statement of facts, in application of the provisions of Article 58.2 of the LDC. On October 28, 2024, the Notifying Party submitted a document to the Competition Directorate requesting the withdrawal of the notification and that the Competition Directorate propose the filing of the case, in accordance with Article 58.4.d) of the LDC and Article 54.3 of the Competition Defense Regulation, approved by Royal Decree 261/2008, of February 22. In accordance with the report and proposal submitted by the Competition Directorate, the Competition Chamber has resolved, in application of Article 58.4.d) of the aforementioned Law 15/2007, of July 3, to agree to the filing of the proceedings. 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