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https://www.cnmc.es/expedientes/c142723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C/1427/23  </w:t>
        <w:br/>
        <w:t xml:space="preserve">TANATORIOS DE CÓRDOBA/ TANATORIO DE  </w:t>
        <w:br/>
        <w:t xml:space="preserve">FUENTE OBEJUNA  </w:t>
        <w:br/>
        <w:t xml:space="preserve">RESOLUTION  </w:t>
        <w:br/>
        <w:t xml:space="preserve">FILE TANATORIOS DE CÓRDOBA / TANATORIO DE  </w:t>
        <w:br/>
        <w:t xml:space="preserve">FUENTE OBEJUNA  </w:t>
        <w:br/>
        <w:t xml:space="preserve">(C/1427/23)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Ms. María Jesús Martín Martínez  </w:t>
        <w:br/>
        <w:t xml:space="preserve">Mr. Bernardo Lorenzo Almendros  </w:t>
        <w:br/>
        <w:t xml:space="preserve">Mr. Xabier Ormaetxea Garai  </w:t>
        <w:br/>
        <w:t xml:space="preserve">Secretary of the Council  </w:t>
        <w:br/>
        <w:t xml:space="preserve">Mr. Miguel Bordiu Garcia-Ovies  </w:t>
        <w:br/>
        <w:t xml:space="preserve">In Barcelona, on December 20, 2023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by TANATORIOS DE CÓRDOBA S.A.  </w:t>
        <w:br/>
        <w:t xml:space="preserve">(TADECO) of the assets through which the selling party provided  </w:t>
        <w:br/>
        <w:t xml:space="preserve">funeral and mortuary services in Fuente Obejuna, Córdoba (FUENTE  </w:t>
        <w:br/>
        <w:t xml:space="preserve">OBEJUNA ASSETS). These assets include all goods and rights,  </w:t>
        <w:br/>
        <w:t xml:space="preserve">movable and immovable (a mortuary)1 essential for the development of its  </w:t>
        <w:br/>
        <w:t xml:space="preserve">economic activity. According to the report and proposal submitted by the  </w:t>
        <w:br/>
        <w:t xml:space="preserve">Directorate of Competition, the Competition Chamber has resolved, in application  </w:t>
        <w:br/>
        <w:t xml:space="preserve">of Article 57.2.a) of the aforementioned Law 15/2007, of July 3, to authorize the  </w:t>
        <w:br/>
        <w:t xml:space="preserve">aforementioned concentration operation.  </w:t>
        <w:br/>
        <w:t xml:space="preserve">This Resolution shall be communicated to the Directorate of Competition of the  </w:t>
        <w:br/>
        <w:t xml:space="preserve">National Commission of Markets and Competition and notified to the interested party,  </w:t>
        <w:br/>
        <w:t xml:space="preserve">informing them that it concludes the administrative process and that a  </w:t>
        <w:br/>
        <w:t xml:space="preserve">contentious-administrative appeal may be filed against it before the National  </w:t>
        <w:br/>
        <w:t xml:space="preserve">Court, within two months from the day following its notification.  </w:t>
        <w:br/>
        <w:t xml:space="preserve">1 Specifically, the property located in Polígono Industrial El Blanquillo.  </w:t>
        <w:br/>
        <w:t xml:space="preserve">National Commission of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C/1427/23  </w:t>
        <w:br/>
        <w:t xml:space="preserve">TANATORIOS DE CÓRDOBA/ TANATORIO DE  </w:t>
        <w:br/>
        <w:t xml:space="preserve">FUENTE OBEJUNA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