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https://www.cnmc.es/expedientes/c142823</w:t>
      </w:r>
    </w:p>
    <w:p>
      <w:r>
        <w:t>Pages translated : 1</w:t>
      </w:r>
    </w:p>
    <w:p/>
    <w:p>
      <w:r>
        <w:rPr>
          <w:b/>
        </w:rPr>
        <w:t>[Pages 1–1]</w:t>
      </w:r>
    </w:p>
    <w:p>
      <w:r>
        <w:t xml:space="preserve">C/1428/23  </w:t>
        <w:br/>
        <w:t xml:space="preserve">ABERTIS AUTOPISTAS/AUTOVÍA DEL CAMINO  </w:t>
        <w:br/>
        <w:t xml:space="preserve">RESOLUTION  </w:t>
        <w:br/>
        <w:t xml:space="preserve">FILE ABERTIS AUTOPISTAS/AUTOVÍA DEL CAMINO  </w:t>
        <w:br/>
        <w:t xml:space="preserve">(C/1428/23)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December 13, 2023</w:t>
      </w:r>
    </w:p>
    <w:p>
      <w:r>
        <w:t>The Competition Chamber has analyzed the concentration file processed in accordance with Law 15/2007, of July 3, on the Defense of Competition, consisting of the acquisition by ABERTIS AUTOPISTAS ESPAÑA, S.A.U. of exclusive control of AUTOVÍA DEL CAMINO, S.A.U. through the acquisition of 100% of the company Galvantula, S.L.U., a company that, in turn, holds 100% of AUTOVÍA DEL CAMINO. In accordance with the report and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