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https://www.cnmc.es/expedientes/c142923</w:t>
      </w:r>
    </w:p>
    <w:p>
      <w:r>
        <w:t>Pages translated : 1</w:t>
      </w:r>
    </w:p>
    <w:p/>
    <w:p>
      <w:r>
        <w:rPr>
          <w:b/>
        </w:rPr>
        <w:t>[Pages 1–1]</w:t>
      </w:r>
    </w:p>
    <w:p>
      <w:r>
        <w:t xml:space="preserve">C/1429/23  </w:t>
        <w:br/>
        <w:t xml:space="preserve">GED IBERIAN PRIVATE EQUITY / HELIOS SPAIN  </w:t>
        <w:br/>
        <w:t xml:space="preserve">RESOLUTION  </w:t>
        <w:br/>
        <w:t xml:space="preserve">FILE GED IBERIAN PRIVATE EQUITY / HELIOS SPAIN  </w:t>
        <w:br/>
        <w:t xml:space="preserve">(C/1429/23)  </w:t>
        <w:br/>
        <w:t xml:space="preserve">COUNCIL. COMPETITION CHAMBER  </w:t>
        <w:br/>
        <w:t xml:space="preserve">President  </w:t>
        <w:br/>
        <w:t xml:space="preserve">Ms. Cani Fernández Vicién  </w:t>
        <w:br/>
        <w:t xml:space="preserve">Councilors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Barcelona, December 20, 2023  </w:t>
        <w:br/>
        <w:t xml:space="preserve">The Competition Chamber has analyzed the merger file processed in accordance with Law 15/2007, of July 3, on the Defense of Competition, consisting of the acquisition by GED Iberian Private Equity, S.A.U, SGEI of Helios Fertility Spain, SL.U. In accordance with the report and proposal submitted by the Competition Directorate, the Competition Chamber has resolved, in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