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https://www.cnmc.es/expedientes/c143023</w:t>
      </w:r>
    </w:p>
    <w:p>
      <w:r>
        <w:t>Pages translated : 2</w:t>
      </w:r>
    </w:p>
    <w:p/>
    <w:p>
      <w:r>
        <w:rPr>
          <w:b/>
        </w:rPr>
        <w:t>[Pages 1–2]</w:t>
      </w:r>
    </w:p>
    <w:p>
      <w:r>
        <w:t xml:space="preserve">C/1430/23  </w:t>
        <w:br/>
        <w:t xml:space="preserve">QSI / WPT  </w:t>
        <w:br/>
        <w:t xml:space="preserve">RESOLUTION  </w:t>
        <w:br/>
        <w:t xml:space="preserve">FILE QSI / WPT  </w:t>
        <w:br/>
        <w:t xml:space="preserve">(C/1430/23)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Barcelona, on March 20, 2024</w:t>
      </w:r>
    </w:p>
    <w:p>
      <w:r>
        <w:t>The Competition Chamber has analyzed the concentration file processed in accordance with Law 15/2007, of July 3, on the Defense of Competition, consisting of the acquisition of exclusive control by Qatar Sports Investments of the World Padel Tour business, currently managed by Setpoint Events S.A.U., in turn owned by Sociedad Anónima Damm. In accordance with the report and proposal submitted by the Competition Directorate, the Competition Chamber has resolved, applying Article 57.2.b) of the aforementioned Law 15/2007, of July 3, to authorize the said concentration operation subject to the fulfillment of the commitments presented.</w:t>
      </w:r>
    </w:p>
    <w:p>
      <w:r>
        <w:t>Likewise, taking into account the practice of the CNMC and what is established in the Commission Communication on restrictions directly linked to the execution of a concentration and necessary for that purpose (2005/C 56/03); this Chamber considers that, in the present case, the material scope of the non-competition clause, regarding the prohibition on the seller from acquiring shares that do not confer control over companies competing with the acquired entity, as well as the material scope of the confidentiality clause, in what exceeds its application on the purchasing party, and the temporal scope in what exceeds the period established in the aforementioned Communication, go beyond what reasonably requires the notified concentration operation, thus remaining subject to the general regulations applicable to agreements between companies. All of this in accordance with what is indicated in the aforementioned report proposal from the Competition Directorate.</w:t>
      </w:r>
    </w:p>
    <w:p>
      <w:r>
        <w:t xml:space="preserve">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