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https://www.cnmc.es/expedientes/c143223</w:t>
      </w:r>
    </w:p>
    <w:p>
      <w:r>
        <w:t>Pages translated : 2</w:t>
      </w:r>
    </w:p>
    <w:p/>
    <w:p>
      <w:r>
        <w:rPr>
          <w:b/>
        </w:rPr>
        <w:t>[Pages 1–2]</w:t>
      </w:r>
    </w:p>
    <w:p>
      <w:r>
        <w:t xml:space="preserve">C/1432/23  </w:t>
        <w:br/>
        <w:t xml:space="preserve">SINTOKOGIO / WINOA  </w:t>
        <w:br/>
        <w:t xml:space="preserve">RESOLUTION  </w:t>
        <w:br/>
        <w:t xml:space="preserve">FILE SINTOKOGIO / WINOA  </w:t>
        <w:br/>
        <w:t xml:space="preserve">(C/1432/23)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February 14, 2024</w:t>
      </w:r>
    </w:p>
    <w:p>
      <w:r>
        <w:t>The Competition Chamber has analyzed the concentration file processed in accordance with Law 15/2007, of July 3, on the Defense of Competition, consisting of the acquisition by SINTOKOGIO LTD., of ELASTIKOS (FRANCE) SAS, and its subsidiaries, including WINOA S.A., through the acquisition of [CONFIDENTIAL]% of the share capital of ELASTIKOS and, therefore, the exclusive control of the WINOA GROUP. According to the report and the proposal submitted by the Directorate of Competition, the Competition Chamber has resolved, in application of Article 57.2.a) of the aforementioned Law 15/2007, of July 3, to authorize the aforementioned concentration operation.</w:t>
      </w:r>
    </w:p>
    <w:p>
      <w:r>
        <w:t>Likewise, taking into account the practice of the CNMC and what is established in the Communication of the Commission regarding restrictions directly linked to the execution of a concentration and necessary for that purpose (2005/C 56/03); this Chamber considers that, in the present case, they are not deemed necessary for the execution of the operation nor accessory to it, remaining subject to the regulations on agreements between companies, the non-solicitation clause, insofar as it is intended to protect the seller. All of this in accordance with what is indicated in the aforementioned report proposal from the Directorate of Competition.</w:t>
      </w:r>
    </w:p>
    <w:p>
      <w:r>
        <w:t xml:space="preserve">National Commission of Markets and Competition 1 of 2  </w:t>
        <w:br/>
        <w:t xml:space="preserve">C/ Alcalá, 47 – 28014 Madrid - C/ Bolivia, 56 – 08018 Barcelona  </w:t>
        <w:br/>
        <w:t>www.cnmc.es</w:t>
      </w:r>
    </w:p>
    <w:p>
      <w:r>
        <w:t xml:space="preserve">C/1432/23  </w:t>
        <w:br/>
        <w:t>This Resolution is to be communicated to the Directorate of Competition of the National Commission of Markets and Competition and notified to the interested party, informing them that it concludes the administrative procedure and that a contentious-administrative appeal can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