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https://www.cnmc.es/expedientes/c143324</w:t>
      </w:r>
    </w:p>
    <w:p>
      <w:r>
        <w:t>Pages translated : 2</w:t>
      </w:r>
    </w:p>
    <w:p/>
    <w:p>
      <w:r>
        <w:rPr>
          <w:b/>
        </w:rPr>
        <w:t>[Pages 1–2]</w:t>
      </w:r>
    </w:p>
    <w:p>
      <w:r>
        <w:t xml:space="preserve">C/1433/24  </w:t>
        <w:br/>
        <w:t xml:space="preserve">NEXCON / GRUPO 1844  </w:t>
        <w:br/>
        <w:t xml:space="preserve">RESOLUTION  </w:t>
        <w:br/>
        <w:t xml:space="preserve">FILE NEXCON / GRUPO 1844  </w:t>
        <w:br/>
        <w:t xml:space="preserve">(C/1433/24)  </w:t>
        <w:br/>
        <w:t xml:space="preserve">COUNCIL. COMPETITION CHAMBER  </w:t>
        <w:br/>
        <w:t xml:space="preserve">President  </w:t>
        <w:br/>
        <w:t xml:space="preserve">Ms. Cani Fernández Vicién  </w:t>
        <w:br/>
        <w:t xml:space="preserve">Counselors  </w:t>
        <w:br/>
        <w:t xml:space="preserve">Ms. María Jesús Martín Martínez  </w:t>
        <w:br/>
        <w:t xml:space="preserve">Mr. Bernardo Lorenzo Almendros  </w:t>
        <w:br/>
        <w:t xml:space="preserve">Mr. Xabier Ormaetxea Garai  </w:t>
        <w:br/>
        <w:t xml:space="preserve">Secretary of the Council  </w:t>
        <w:br/>
        <w:t xml:space="preserve">Mr. Miguel Bordiu Garcia-Ovies  </w:t>
        <w:br/>
        <w:t xml:space="preserve">In Barcelona, January 31, 2024  </w:t>
        <w:br/>
        <w:t xml:space="preserve">The Competition Chamber has analyzed the concentration file processed in accordance with Law 15/2007, of July 3, on the Defense of Competition, consisting of the acquisition by NEX CONTINENTAL HOLDINGS, S.L.U. (“NEXCON”) of assets (business branches and goodwill) and social shares of various entities of GRUPO 1844. In accordance with the report and proposal submitted by the Competition Directorate, the Competition Chamber has resolved, applying Article 57.2.a) of the aforementioned Law 15/2007, of July 3, to authorize the said concentration operation.  </w:t>
        <w:br/>
        <w:t xml:space="preserve">Likewise, taking into account the practice of the CNMC and what is established in the Communication of the Commission regarding restrictions directly linked to the execution of a concentration and necessary for that purpose (2005/C 56/03); this Chamber considers that, in the present case, the non-compete clause exceeds what is stated in the aforementioned Communication, regarding the prohibition on the seller from participating in companies that compete with the acquired one without granting control, as well as from carrying out activities in geographical areas where it was not present. Furthermore, it also exceeds its temporal scope by surpassing the 2 years established in the Communication. Therefore, it is considered that the non-compete clause goes beyond what is reasonably required by the notified concentration operation and should not be considered necessary or accessory, thus remaining subject to the general regulations applicable to agreements between companies. All of this in accordance with what is indicated in the aforementioned report proposal of the Competition Directorate.  </w:t>
        <w:br/>
        <w:t xml:space="preserve">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 xml:space="preserve">National Commission of Markets and Competition 1 of 2  </w:t>
        <w:br/>
        <w:t xml:space="preserve">C/ Alcalá, 47 – 28014 Madrid - C/ Bolivia, 56 – 08018 Barcelona  </w:t>
        <w:br/>
        <w:t>www.cnmc.es</w:t>
      </w:r>
    </w:p>
    <w:p>
      <w:r>
        <w:t xml:space="preserve">C/1433/24  </w:t>
        <w:br/>
        <w:t>NEXCON / GRUPO 1844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