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https://www.cnmc.es/expedientes/c143424</w:t>
      </w:r>
    </w:p>
    <w:p>
      <w:r>
        <w:t>Pages translated : 2</w:t>
      </w:r>
    </w:p>
    <w:p/>
    <w:p>
      <w:r>
        <w:rPr>
          <w:b/>
        </w:rPr>
        <w:t>[Pages 1–2]</w:t>
      </w:r>
    </w:p>
    <w:p>
      <w:r>
        <w:t xml:space="preserve">C/1434/24  </w:t>
        <w:br/>
        <w:t xml:space="preserve">MÉMORA / TANATORIO DE PALENCIA  </w:t>
        <w:br/>
        <w:t xml:space="preserve">RESOLUTION  </w:t>
        <w:br/>
        <w:t xml:space="preserve">FILE MÉMORA / TANATORIO DE PALENCIA  </w:t>
        <w:br/>
        <w:t xml:space="preserve">(C/1434/24)  </w:t>
        <w:br/>
        <w:t xml:space="preserve">COUNCIL. COMPETITION CHAMBER  </w:t>
        <w:br/>
        <w:t xml:space="preserve">President  </w:t>
        <w:br/>
        <w:t xml:space="preserve">Ms. Cani Fernández Vicién  </w:t>
        <w:br/>
        <w:t xml:space="preserve">Councilors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Madrid, January 17, 2024  </w:t>
        <w:br/>
        <w:t xml:space="preserve">The Competition Chamber has analyzed the concentration file processed in accordance with Law 15/2007, of July 3, on the Defense of Competition, consisting of the acquisition by MÉMORA SERVICIOS FUNERARIOS, S.L., of exclusive control of TANATORIO DE PALENCIA, S.L.U., through the acquisition of 100% of its share capital. In accordance with the report and proposal submitted by the Competition Directorate, the Competition Chamber has resolved, applying Article 57.2.a) of the aforementioned Law 15/2007, of July 3, to authorize the aforementioned concentration operation. Likewise, taking into account the practice of the CNMC and what is established in the Communication of the Commission on restrictions directly linked to the execution of a concentration and necessary for that purpose (2005/C 56/03); this Chamber considers that the material scope of the non-compete clause exceeds what is established in said Communication, as it includes the limitation on the acquisition or holding of shares for purely financial investment purposes that do not confer directly or indirectly management functions or substantial influence in the competing company, and in the temporal scope, as it exceeds the 2 years established by the aforementioned Communication, with both issues going beyond what is reasonably required by the notified concentration operation, thus remaining subject to the general regulations applicable to agreements between companies.  </w:t>
        <w:br/>
        <w:t xml:space="preserve">National Commission of Markets and Competition 1 of 2  </w:t>
        <w:br/>
        <w:t xml:space="preserve">C/ Alcalá, 47 – 28014 Madrid - C/ Bolivia, 56 – 08018 Barcelona  </w:t>
        <w:br/>
        <w:t>www.cnmc.es</w:t>
      </w:r>
    </w:p>
    <w:p>
      <w:r>
        <w:t xml:space="preserve">C/1434/24  </w:t>
        <w:br/>
        <w:t xml:space="preserve">MÉMORA / TANATORIO DE PALENCIA  </w:t>
        <w:br/>
        <w:t xml:space="preserve">All of this in accordance with what is indicated in the aforementioned report proposal from the Competition Directorate.  </w:t>
        <w:b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