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https://www.cnmc.es/expedientes/c143524</w:t>
      </w:r>
    </w:p>
    <w:p>
      <w:r>
        <w:t>Pages translated : 1</w:t>
      </w:r>
    </w:p>
    <w:p/>
    <w:p>
      <w:r>
        <w:rPr>
          <w:b/>
        </w:rPr>
        <w:t>[Pages 1–1]</w:t>
      </w:r>
    </w:p>
    <w:p>
      <w:r>
        <w:t xml:space="preserve">C/1435/24  </w:t>
        <w:br/>
        <w:t xml:space="preserve">ASCENDI / EGI  </w:t>
        <w:br/>
        <w:t xml:space="preserve">RESOLUTION  </w:t>
        <w:br/>
        <w:t xml:space="preserve">FILE ASCENDI / EGI  </w:t>
        <w:br/>
        <w:t xml:space="preserve">(C/1435/24)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January 31, 2024</w:t>
      </w:r>
    </w:p>
    <w:p>
      <w:r>
        <w:t>The Competition Chamber has analyzed the concentration file processed in accordance with Law 15/2007, of July 3, on the Defense of Competition, consisting of the acquisition by Ascendi IGI, Inovação e Gestão de Infra-Estruturas, S.A., of exclusive control over Elsamex Gestión de Infraestructuras, S.L.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