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https://www.cnmc.es/expedientes/c143624</w:t>
      </w:r>
    </w:p>
    <w:p>
      <w:r>
        <w:t>Pages translated : 1</w:t>
      </w:r>
    </w:p>
    <w:p/>
    <w:p>
      <w:r>
        <w:rPr>
          <w:b/>
        </w:rPr>
        <w:t>[Pages 1–1]</w:t>
      </w:r>
    </w:p>
    <w:p>
      <w:r>
        <w:t xml:space="preserve">C/1436/24  </w:t>
        <w:br/>
        <w:t xml:space="preserve">HER / MOSCOSO GROUP  </w:t>
        <w:br/>
        <w:t xml:space="preserve">RESOLUTION  </w:t>
        <w:br/>
        <w:t xml:space="preserve">CASE FILE HER / MOSCOSO GROUP  </w:t>
        <w:br/>
        <w:t xml:space="preserve">(C/1436/24)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February 14, 2024</w:t>
      </w:r>
    </w:p>
    <w:p>
      <w:r>
        <w:t>The Competition Chamber has analyzed the merger case file processed in accordance with Law 15/2007, of July 3, on the Defense of Competition, consisting of the acquisition of exclusive control by GRUPO EHR1896, S.L. over ELÉCTRICA DE MOSCOSO, S.L. and MOSCOSO ENERGÍA, S.L. In accordance with the report and proposal submitted by the Competition Directorate, the Competition Chamber has resolved, pursuant to Article 57.2.a) of the aforementioned Law 15/2007, of July 3, to authorize the aforementioned merger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