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https://www.cnmc.es/expedientes/c143724</w:t>
      </w:r>
    </w:p>
    <w:p>
      <w:r>
        <w:t>Pages translated : 1</w:t>
      </w:r>
    </w:p>
    <w:p/>
    <w:p>
      <w:r>
        <w:rPr>
          <w:b/>
        </w:rPr>
        <w:t>[Pages 1–1]</w:t>
      </w:r>
    </w:p>
    <w:p>
      <w:r>
        <w:t>C/1437/24 ZEGONA / VODAFONE RESOLUTION FILE ZEGONA / VODAFONE (C/1437/24) COUNCIL. COMPETITION CHAMBER President Ms. Cani Fernández Vicién Councilors Ms. María Jesús Martín Martínez Mr. Bernardo Lorenzo Almendros Mr. Xabier Ormaetxea Garai Secretary of the Council Mr. Miguel Bordiu Garcia-Ovies In Barcelona, January 31, 2024 The Competition Chamber has analyzed the concentration file processed in accordance with Law 15/2007, of July 3, on the Defense of Competition, consisting of the acquisition by Zegona Communications plc, through its subsidiary Zegona BidCo., of exclusive control of Vodafone Holdings Europe S.L.U. Specifically, through the proposed operation, ZEGONA will acquire 100% of the share capital, which will allow it to indirectly acquire 100% of the share capital of its subsidiaries, namely: (i) Vodafone España, S.A.U., (ii) Vodafone ONO, S.A.U., (iii) Vodafone Servicios, S.L.U. (VODAFONE SERVICIOS) and (iv) Vodafone Energía, S.L.U. According to the report and proposal submitted by the Directorate of Competition, the Competition Chamber has resolved, in application of Article 57.2.a) of the aforementioned Law 15/2007, of July 3, to authorize the aforementioned concentration operation. 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on Markets and Competition 1 of 1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