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https://www.cnmc.es/expedientes/c143824</w:t>
      </w:r>
    </w:p>
    <w:p>
      <w:r>
        <w:t>Pages translated : 1</w:t>
      </w:r>
    </w:p>
    <w:p/>
    <w:p>
      <w:r>
        <w:rPr>
          <w:b/>
        </w:rPr>
        <w:t>[Pages 1–1]</w:t>
      </w:r>
    </w:p>
    <w:p>
      <w:r>
        <w:t xml:space="preserve">C/1438/24  </w:t>
        <w:br/>
        <w:t xml:space="preserve">HOSPITALES COSAGA / CENTRO MÉDICO EL CARMEN  </w:t>
        <w:br/>
        <w:t xml:space="preserve">RESOLUTION  </w:t>
        <w:br/>
        <w:t xml:space="preserve">FILE HOSPITALES COSAGA / CENTRO MÉDICO EL CARMEN  </w:t>
        <w:br/>
        <w:t xml:space="preserve">(C/1438/24)  </w:t>
        <w:br/>
        <w:t>COUNCIL. COMPETITION CHAMBER</w:t>
      </w:r>
    </w:p>
    <w:p>
      <w:r>
        <w:t xml:space="preserve">President  </w:t>
        <w:br/>
        <w:t>Ms. Cani Fernández Vicién</w:t>
      </w:r>
    </w:p>
    <w:p>
      <w:r>
        <w:t xml:space="preserve">Counselors  </w:t>
        <w:br/>
        <w:t xml:space="preserve">Ms. María Jesús Martín Martínez  </w:t>
        <w:br/>
        <w:t xml:space="preserve">Mr. Bernardo Lorenzo Almendros  </w:t>
        <w:br/>
        <w:t>Mr. Xabier Ormaetxea Garai</w:t>
      </w:r>
    </w:p>
    <w:p>
      <w:r>
        <w:t xml:space="preserve">Secretary of the Council  </w:t>
        <w:br/>
        <w:t>Mr. Miguel Bordiu Garcia-Ovies</w:t>
      </w:r>
    </w:p>
    <w:p>
      <w:r>
        <w:t>In Madrid, April 3, 2024</w:t>
      </w:r>
    </w:p>
    <w:p>
      <w:r>
        <w:t>The Competition Chamber has analyzed the concentration file processed in accordance with Law 15/2007, of July 3, on the Defense of Competition, consisting of the acquisition of exclusive control by HOSPITALES COSAGA, S.L., of CENTRO MÉDICO EL CARMEN, S.A., with the acquisition of 100% of its shares. In accordance with the report and proposal submitted by the Competition Directorate, the Competition Chamber has resolved, under the application of Article 57.2.b) of the aforementioned Law 15/2007, of July 3, to authorize the said concentration operation subject to the fulfillment of the commitments presented by the notifying party.</w:t>
      </w:r>
    </w:p>
    <w:p>
      <w: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a period of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