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https://www.cnmc.es/expedientes/c143924</w:t>
      </w:r>
    </w:p>
    <w:p>
      <w:r>
        <w:t>Pages translated : 1</w:t>
      </w:r>
    </w:p>
    <w:p/>
    <w:p>
      <w:r>
        <w:rPr>
          <w:b/>
        </w:rPr>
        <w:t>[Pages 1–1]</w:t>
      </w:r>
    </w:p>
    <w:p>
      <w:r>
        <w:t xml:space="preserve">C/1439/24  </w:t>
        <w:br/>
        <w:t xml:space="preserve">RAMEDER / ENGANCHES ARAGÓN  </w:t>
        <w:br/>
        <w:t xml:space="preserve">RESOLUTION  </w:t>
        <w:br/>
        <w:t xml:space="preserve">FILE RAMEDER / ENGANCHES ARAGÓN  </w:t>
        <w:br/>
        <w:t xml:space="preserve">(C/1439/24)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Barcelona, on January 31, 2024</w:t>
      </w:r>
    </w:p>
    <w:p>
      <w:r>
        <w:t>The Competition Chamber has analyzed the concentration file processed in accordance with Law 15/2007, of July 3, on the Defense of Competition, consisting of the acquisition of exclusive control by RAMEDER ANHÄNGERKUPPLUNGEN UND AUTOTEILE, GMBH of ENGANCHES Y REMOLQUES ARAGÓN, S.L., through the acquisition of 60% of the share capital. In accordance with the report and proposal submitted by the Competition Directorate, the Competition Chamber has resolved, in application of Article 57.2.a) of the aforementioned Law 15/2007, of July 3, to authorize the said concentration operation.</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