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https://www.cnmc.es/expedientes/c144024</w:t>
      </w:r>
    </w:p>
    <w:p>
      <w:r>
        <w:t>Pages translated : 2</w:t>
      </w:r>
    </w:p>
    <w:p/>
    <w:p>
      <w:r>
        <w:rPr>
          <w:b/>
        </w:rPr>
        <w:t>[Pages 1–2]</w:t>
      </w:r>
    </w:p>
    <w:p>
      <w:r>
        <w:t>C/1440/24 ABAC / ZOOTECNIA RESOLUTION FILE ABAC / ZOOTECNIA (C/1440/24) COUNCIL. COMPETITION CHAMBER President Ms. Cani Fernández Vicién Councilors Ms. María Jesús Martín Martínez Mr. Bernardo Lorenzo Almendros Mr. Xabier Ormaetxea Garai Secretary of the Council Mr. Miguel Bordiu Garcia-Ovies In Barcelona, January 31, 2024 The Competition Chamber has analyzed the concentration file processed in accordance with Law 15/2007, of July 3, on the Defense of Competition, consisting of the acquisition by Abac Solutions and, indirectly, by Nuzoa Norte, S.L.U., of exclusive control of Zootecnia, S.L. In accordance with the report and proposal submitted by the Competition Directorate, the Competition Chamber has resolved, in application of article 57.2.a) of the aforementioned Law 15/2007, of July 3, to authorize the aforementioned concentration operation. Likewise, taking into account the practice of the CNMC and what is established in the Commission Communication on restrictions directly linked to the execution of a concentration and necessary for that purpose (2005/C 56/03); this Chamber does not consider necessary or accessory, remaining subject to the regulations on agreements between companies, the duration of the non-solicitation and non-competition clauses, in all that exceeds the 2 years established by the aforementioned Communication for operations in which there is no significant transfer of know-how. All of this in accordance with what is indicated in the aforementioned report proposal of the Competition Directorate. This Resolution shall be communicated to the Competition Directorate of the National Commission of Markets and Competition and notified to the interested party, informing them that it concludes the administrative process and that they may file a contentious-administrative appeal against it before the National Court, within two months from the day following its notification. National Commission of Markets and Competition 1 of 2 C/ Alcalá, 47 – 28014 Madrid - C/ Bolivia, 56 – 08018 Barcelona www.cnmc.es C/1440/24 ABAC / ZOOTECNIA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