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https://www.cnmc.es/expedientes/c144124</w:t>
      </w:r>
    </w:p>
    <w:p>
      <w:r>
        <w:t>Pages translated : 2</w:t>
      </w:r>
    </w:p>
    <w:p/>
    <w:p>
      <w:r>
        <w:rPr>
          <w:b/>
        </w:rPr>
        <w:t>[Pages 1–2]</w:t>
      </w:r>
    </w:p>
    <w:p>
      <w:r>
        <w:t xml:space="preserve">C/1441/24  </w:t>
        <w:br/>
        <w:t xml:space="preserve">INVERAMEN S.A.U / DELICIUM PETFOOD S.L.  </w:t>
        <w:br/>
        <w:t xml:space="preserve">RESOLUTION  </w:t>
        <w:br/>
        <w:t xml:space="preserve">FILE INVERAMEN S.A.U / DELICIUM PETFOOD S.L.  </w:t>
        <w:br/>
        <w:t xml:space="preserve">(C/1441/24)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January 31, 2024</w:t>
      </w:r>
    </w:p>
    <w:p>
      <w:r>
        <w:t>The Competition Chamber has analyzed the concentration file processed in accordance with Law 15/2007, of July 3, on the Defense of Competition, consisting of the acquisition of exclusive control by GRUPO AGROLIMEN, through its subsidiary INVERAMEN of DELICIUM PETFOOD, S.L, [CONFIDENTIAL]. In accordance with the report and proposal submitted by the Competition Directorate, the Competition Chamber has resolved, applying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the non-competition and non-solicitation clauses exceeding the two years established go beyond what is reasonably required by the notified concentration operation and should not be considered necessary, thus remaining subject to the general regulations applicable to agreements between companies. 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w:t>
        <w:br/>
        <w:t xml:space="preserve">National Commission of Markets and Competition 1 of 2  </w:t>
        <w:br/>
        <w:t xml:space="preserve">C/ Alcalá, 47 – 28014 Madrid - C/ Bolivia, 56 – 08018 Barcelona  </w:t>
        <w:br/>
        <w:t>www.cnmc.es</w:t>
      </w:r>
    </w:p>
    <w:p>
      <w:r>
        <w:t xml:space="preserve">C/1441/24  </w:t>
        <w:br/>
        <w:t xml:space="preserve">INVERAMEN S.A.U / DELICIUM PETFOOD S.L.  </w:t>
        <w:br/>
        <w:t xml:space="preserve">informing them that it concludes the administrative procedure and that a contentious-administrative appeal can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