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https://www.cnmc.es/expedientes/c144224</w:t>
      </w:r>
    </w:p>
    <w:p>
      <w:r>
        <w:t>Pages translated : 2</w:t>
      </w:r>
    </w:p>
    <w:p/>
    <w:p>
      <w:r>
        <w:rPr>
          <w:b/>
        </w:rPr>
        <w:t>[Pages 1–2]</w:t>
      </w:r>
    </w:p>
    <w:p>
      <w:r>
        <w:t xml:space="preserve">C/1442/24  </w:t>
        <w:br/>
        <w:t xml:space="preserve">TRINITY GROUP / BEAUTY BY DIA (CLAREL)  </w:t>
        <w:br/>
        <w:t xml:space="preserve">RESOLUTION  </w:t>
        <w:br/>
        <w:t xml:space="preserve">FILE TRINITY GROUP / BEAUTY BY DIA (CLAREL)  </w:t>
        <w:br/>
        <w:t xml:space="preserve">(C/1442/24)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February 14, 2024</w:t>
      </w:r>
    </w:p>
    <w:p>
      <w:r>
        <w:t>The Competition Chamber has analyzed the concentration file processed in accordance with Law 15/2007, of July 3, on the Defense of Competition, consisting of the acquisition by the company TRINITY GROUP, S.A.S., of exclusive control of BEAUTY BY DIA, S.A.U., through the purchase of 100% of its shares. In accordance with the report and proposal submitted by the Competition Directorate, the Competition Chamber has resolved, applying Article 57.2.a) of the aforementioned Law 15/2007, of July 3, to authorize the said concentration operation.</w:t>
      </w:r>
    </w:p>
    <w:p>
      <w:r>
        <w:t>Likewise, taking into account the practice of the CNMC and what is established in the Commission Communication on restrictions directly linked to the execution of a concentration and necessary for that purpose (2005/C 56/03); this Chamber considers that, in the present case, the geographical scope of the non-compete clause, insofar as it exceeds the areas in which the seller offered the reference products prior to the transfer, would go beyond what is reasonably required by the notified concentration operation and should not be considered either necessary or ancillary, thus remaining subject to the general regulations applicable to agreements between companies. All of this in accordance with what is indicated in the aforementioned report proposal from the Competition Directorate.</w:t>
      </w:r>
    </w:p>
    <w:p>
      <w:r>
        <w:t xml:space="preserve">National Commission of Markets and Competition 1 of 2  </w:t>
        <w:br/>
        <w:t xml:space="preserve">C/ Alcalá, 47 – 28014 Madrid - C/ Bolivia, 56 – 08018 Barcelona  </w:t>
        <w:br/>
        <w:t>www.cnmc.es</w:t>
      </w:r>
    </w:p>
    <w:p>
      <w:r>
        <w:t xml:space="preserve">C/1442/24  </w:t>
        <w:br/>
        <w:t xml:space="preserve">TRINITY GROUP / BEAUTY BY DIA (CLAREL)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