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https://www.cnmc.es/expedientes/c144324</w:t>
      </w:r>
    </w:p>
    <w:p>
      <w:r>
        <w:t>Pages translated : 1</w:t>
      </w:r>
    </w:p>
    <w:p/>
    <w:p>
      <w:r>
        <w:rPr>
          <w:b/>
        </w:rPr>
        <w:t>[Pages 1–1]</w:t>
      </w:r>
    </w:p>
    <w:p>
      <w:r>
        <w:t xml:space="preserve">C/1443/24  </w:t>
        <w:br/>
        <w:t xml:space="preserve">COMITANS/ RHEINMETALL COMITANS/ RHEINMETALL (SMALL CALIBER PISTONS BUSINESS)  </w:t>
        <w:br/>
        <w:t xml:space="preserve">RESOLUTION  </w:t>
        <w:br/>
        <w:t xml:space="preserve">FILE COMITANS/ RHEINMETALL COMITANS/ RHEINMETALL (SMALL CALIBER PISTONS BUSINESS)  </w:t>
        <w:br/>
        <w:t xml:space="preserve">(C/1443/24)  </w:t>
        <w:br/>
        <w:t xml:space="preserve">COUNCIL. COMPETITION CHAMBER  </w:t>
        <w:br/>
        <w:t xml:space="preserve">President  </w:t>
        <w:br/>
        <w:t xml:space="preserve">Ms. Cani Fernández Vicién  </w:t>
        <w:br/>
        <w:t xml:space="preserve">Councilors  </w:t>
        <w:br/>
        <w:t xml:space="preserve">Ms. María Jesús Martín Martínez  </w:t>
        <w:br/>
        <w:t xml:space="preserve">Mr. Bernardo Lorenzo Almendros  </w:t>
        <w:br/>
        <w:t xml:space="preserve">Mr. Xabier Ormaetxea Garai  </w:t>
        <w:br/>
        <w:t xml:space="preserve">Secretary of the Council  </w:t>
        <w:br/>
        <w:t xml:space="preserve">Mr. Miguel Bordiu Garcia-Ovies  </w:t>
        <w:br/>
        <w:t xml:space="preserve">In Madrid, February 14, 2024  </w:t>
        <w:br/>
        <w:t xml:space="preserve">The Competition Chamber has analyzed the concentration file processed in accordance with Law 15/2007, of July 3, on the Defense of Competition, consisting of the acquisition of exclusive control by COMITANS CAPITAL AG, through the newly created company SMALL BORE PISTONS HOLDING GmbH, over the small caliber pistons business of RHEINMETALL AUTOMOTIVE AG. According to the report and proposal submitted by the Directorate of Competition, the Competition Chamber has resolved, in application of Article 57.2.a) of the aforementioned Law 15/2007, of July 3, to authorize the aforementioned concentration operation.  </w:t>
        <w:br/>
        <w:t xml:space="preserve">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