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https://www.cnmc.es/expedientes/c144424</w:t>
      </w:r>
    </w:p>
    <w:p>
      <w:r>
        <w:t>Pages translated : 1</w:t>
      </w:r>
    </w:p>
    <w:p/>
    <w:p>
      <w:r>
        <w:rPr>
          <w:b/>
        </w:rPr>
        <w:t>[Pages 1–1]</w:t>
      </w:r>
    </w:p>
    <w:p>
      <w:r>
        <w:t xml:space="preserve">C/1444/24  </w:t>
        <w:br/>
        <w:t xml:space="preserve">HAIYINGKANG (QINGDAO) / SRAAS  </w:t>
        <w:br/>
        <w:t xml:space="preserve">RESOLUTION  </w:t>
        <w:br/>
        <w:t xml:space="preserve">FILE HAIYINGKANG (QINGDAO) / SRAAS  </w:t>
        <w:br/>
        <w:t xml:space="preserve">(C/1444/24)  </w:t>
        <w:br/>
        <w:t>COUNCIL. COMPETITION CHAMBER</w:t>
      </w:r>
    </w:p>
    <w:p>
      <w:r>
        <w:t xml:space="preserve">President  </w:t>
        <w:br/>
        <w:t>Ms. Cani Fernández Vicién</w:t>
      </w:r>
    </w:p>
    <w:p>
      <w:r>
        <w:t xml:space="preserve">Councilors  </w:t>
        <w:br/>
        <w:t xml:space="preserve">Ms. María Jesús Martín Martínez  </w:t>
        <w:br/>
        <w:t xml:space="preserve">Mr. Bernardo Lorenzo Almendros  </w:t>
        <w:br/>
        <w:t>Mr. Xabier Ormaetxea Garai</w:t>
      </w:r>
    </w:p>
    <w:p>
      <w:r>
        <w:t xml:space="preserve">Secretary of the Council  </w:t>
        <w:br/>
        <w:t>Mr. Miguel Bordiu Garcia-Ovies</w:t>
      </w:r>
    </w:p>
    <w:p>
      <w:r>
        <w:t>In Madrid, on February 14, 2024</w:t>
      </w:r>
    </w:p>
    <w:p>
      <w:r>
        <w:t>The Competition Chamber has analyzed the concentration file processed in accordance with Law 15/2007, of July 3, on the Defense of Competition, consisting of the acquisition of exclusive control of Shanghai RAAS Blood Products Co. Ltd, by Haiyingkang Medical Technology Co, Ltd (“HAIYINGKANG (QINGDAO)”), a corporate vehicle owned by Haier Group Corporation. In accordance with the report and proposal submitted by the Directorate of Competition, the Competition Chamber has resolved, under the application of Article 57.2.a) of the aforementioned Law 15/2007, of July 3, to authorize the said concentration operation.</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