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https://www.cnmc.es/expedientes/c144524</w:t>
      </w:r>
    </w:p>
    <w:p>
      <w:r>
        <w:t>Pages translated : 1</w:t>
      </w:r>
    </w:p>
    <w:p/>
    <w:p>
      <w:r>
        <w:rPr>
          <w:b/>
        </w:rPr>
        <w:t>[Pages 1–1]</w:t>
      </w:r>
    </w:p>
    <w:p>
      <w:r>
        <w:t xml:space="preserve">C/1445/24  </w:t>
        <w:br/>
        <w:t xml:space="preserve">LUXAVIATION PARTICIPATIONS – ACA HOLDING / SKY VALET  </w:t>
        <w:br/>
        <w:t xml:space="preserve">SPAIN  </w:t>
        <w:br/>
        <w:t xml:space="preserve">RESOLUTION  </w:t>
        <w:br/>
        <w:t xml:space="preserve">FILE LUXAVIATION PARTICIPATIONS – ACA HOLDING / SKY VALET SPAIN  </w:t>
        <w:br/>
        <w:t xml:space="preserve">(C/1445/24)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March 4, 2024</w:t>
      </w:r>
    </w:p>
    <w:p>
      <w:r>
        <w:t>The Competition Chamber has analyzed the concentration file processed in accordance with Law 15/2007, of July 3, on the Defense of Competition, consisting of the acquisition by Luxaviation Participations S.A. of joint control over SkyValet Spain, S.L.U., together with ACA HOLDING SASU. This notification was completed on February 9, 2024. According to the report and proposal submitted by the Directorate of Competition, the Competition Chamber has resolved, in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