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https://www.cnmc.es/expedientes/c144624</w:t>
      </w:r>
    </w:p>
    <w:p>
      <w:r>
        <w:t>Pages translated : 2</w:t>
      </w:r>
    </w:p>
    <w:p/>
    <w:p>
      <w:r>
        <w:rPr>
          <w:b/>
        </w:rPr>
        <w:t>[Pages 1–2]</w:t>
      </w:r>
    </w:p>
    <w:p>
      <w:r>
        <w:t xml:space="preserve">C/1446/24  </w:t>
        <w:br/>
        <w:t xml:space="preserve">PORTOBELLO / GRUPO PLEXUS / PLEXUS TECHNOLOGIES  </w:t>
        <w:br/>
        <w:t xml:space="preserve">RESOLUTION  </w:t>
        <w:br/>
        <w:t xml:space="preserve">FILE PORTOBELLO / GRUPO PLEXUS / PLEXUS TECHNOLOGIES  </w:t>
        <w:br/>
        <w:t xml:space="preserve">(C/1446/24)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February 21, 2024</w:t>
      </w:r>
    </w:p>
    <w:p>
      <w:r>
        <w:t>The Competition Chamber has analyzed the merger file processed in accordance with Law 15/2007, of July 3, on the Defense of Competition, consisting of the acquisition by Portobello Capital Gestión, SGEIC, S.A., through the special purpose acquisition company Cartera Hera, S.L., of joint control of Tecnologías Plexus, S.L.U., belonging to Grupo Plexus Tech, S.L., through the acquisition of a share of [&lt;30%] of its share capital. In accordance with the report and proposal submitted by the Competition Directorate, the Competition Chamber has resolved, under the application of Article 57.2.a) of the aforementioned Law 15/2007, of July 3, to authorize the aforementioned merger operation.</w:t>
      </w:r>
    </w:p>
    <w:p>
      <w:r>
        <w:t>Likewise, taking into account the practice of the CNMC and what is established in the Commission Communication on restrictions directly linked to the execution of a merger and necessary for that purpose (2005/C 56/03); this Chamber considers that, in the present case, the confidentiality and non-competition clauses included in the partners' contract must remain outside the authorization, as they are pending negotiation and signature. Therefore, this Chamber does not currently have sufficient information to assess their accessory nature, remaining subject to the regulations on agreements between companies in all that exceeds, both in content and duration, what is established in the aforementioned Communication. All of this in accordance with what is indicated in the aforementioned report proposal from the Competition Directorate.</w:t>
      </w:r>
    </w:p>
    <w:p>
      <w:r>
        <w:t xml:space="preserve">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