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https://www.cnmc.es/expedientes/c144724</w:t>
      </w:r>
    </w:p>
    <w:p>
      <w:r>
        <w:t>Pages translated : 1</w:t>
      </w:r>
    </w:p>
    <w:p/>
    <w:p>
      <w:r>
        <w:rPr>
          <w:b/>
        </w:rPr>
        <w:t>[Pages 1–1]</w:t>
      </w:r>
    </w:p>
    <w:p>
      <w:r>
        <w:t xml:space="preserve">C/1447/24  </w:t>
        <w:br/>
        <w:t xml:space="preserve">GLOBAL ZÚJAR – A. PÉREZ / GLOBAL VERLONA  </w:t>
        <w:br/>
        <w:t xml:space="preserve">RESOLUTION  </w:t>
        <w:br/>
        <w:t xml:space="preserve">FILE GLOBAL ZÚJAR – A. PÉREZ / GLOBAL VERLONA  </w:t>
        <w:br/>
        <w:t xml:space="preserve">(C/1447/24)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March 4, 2024</w:t>
      </w:r>
    </w:p>
    <w:p>
      <w:r>
        <w:t>The Competition Chamber has analyzed the merger file processed in accordance with Law 15/2007, of July 3, on the Defense of Competition, consisting of the joint control acquisition by GLOBAL ZÚJAR, S.L.U. and Á. PÉREZ Y CÍA, S.L.U., over GLOBAL VERLONA, S.L. This notification was completed on February 26, 2024. In accordance with the report and proposal submitted by the Directorate of Competition, the Competition Chamber has resolved, under the application of Article 57.2.a) of the aforementioned Law 15/2007, of July 3, to authorize the aforementioned merger operation.</w:t>
      </w:r>
    </w:p>
    <w:p>
      <w:r>
        <w:t>This Resolution shall be communicated to the Directorate of Competition of the National Commission of Markets and Competition and notified to the interested party, informing them that this concludes the administrative process and that a contentious-administrative appeal may be filed against it before the National Court, within two months from the day following its notification.</w:t>
      </w:r>
    </w:p>
    <w:p>
      <w:r>
        <w:t xml:space="preserve">National Commission of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