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https://www.cnmc.es/expedientes/c144824</w:t>
      </w:r>
    </w:p>
    <w:p>
      <w:r>
        <w:t>Pages translated : 2</w:t>
      </w:r>
    </w:p>
    <w:p/>
    <w:p>
      <w:r>
        <w:rPr>
          <w:b/>
        </w:rPr>
        <w:t>[Pages 1–2]</w:t>
      </w:r>
    </w:p>
    <w:p>
      <w:r>
        <w:t xml:space="preserve">C/144824  </w:t>
        <w:br/>
        <w:t xml:space="preserve">ASV FUNESER / LA RONDEÑA  </w:t>
        <w:br/>
        <w:t xml:space="preserve">RESOLUTION  </w:t>
        <w:br/>
        <w:t xml:space="preserve">FILE ASV FUNESER / LA RONDEÑA  </w:t>
        <w:br/>
        <w:t xml:space="preserve">(C/1448/24)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Barcelona, March 20, 2024  </w:t>
        <w:br/>
        <w:t xml:space="preserve">The Competition Chamber has analyzed the concentration file processed in accordance with Law 15/2007, of July 3, on the Defense of Competition, consisting of the acquisition of exclusive control of FUNERARIA RONDEÑA, S.L. by ASV FUNESER, S.L.U., through the acquisition of 100% of its social shares. In accordance with the report and proposal submitted by the Competition Directorate, the Competition Chamber has resolved, applying Article 57.2.a) of the aforementioned Law 15/2007, of July 3, to authorize the said concentration operation.  </w:t>
        <w:br/>
        <w:t xml:space="preserve">Likewise, taking into account the practice of the CNMC and what is established in the Communication of the Commission on restrictions directly linked to the execution of a concentration and necessary for that purpose (2005/C 56/03); this Chamber considers that, in the present case, the material scope of the non-competition clause, in what exceeds the seller's commitment on behalf of its subsidiaries and commercial agents, including direct relatives of at least second degree of kinship or through intermediary companies, goes beyond what is reasonably required by the notified concentration operation and should not be considered necessary or accessory, thus remaining subject to the general regulations applicable to agreements between companies. All of this in accordance with what is indicated in the aforementioned report proposal of the Competition Directorate.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1 of 2  </w:t>
        <w:br/>
        <w:t xml:space="preserve">C/ Alcalá, 47 – 28014 Madrid - C/ Bolivia, 56 – 08018 Barcelona  </w:t>
        <w:br/>
        <w:t>www.cnmc.es</w:t>
      </w:r>
    </w:p>
    <w:p>
      <w:r>
        <w:t xml:space="preserve">C/144824  </w:t>
        <w:br/>
        <w:t xml:space="preserve">ASV FUNESER / LA RONDEÑA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