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https://www.cnmc.es/expedientes/c145124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C/145124  </w:t>
        <w:br/>
        <w:t xml:space="preserve">BASIC FIT / RGS SPAIN  </w:t>
        <w:br/>
        <w:t xml:space="preserve">RESOLUTION  </w:t>
        <w:br/>
        <w:t xml:space="preserve">FILE BASIC FIT / RSG SPAIN  </w:t>
        <w:br/>
        <w:t xml:space="preserve">(C/1451/24)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Jesús Martín Martínez  </w:t>
        <w:br/>
        <w:t xml:space="preserve">Mr. Bernardo Lorenzo Almendros  </w:t>
        <w:br/>
        <w:t xml:space="preserve">Mr. Xabier Ormaetxea Garai  </w:t>
        <w:br/>
        <w:t xml:space="preserve">Secretary of the Council  </w:t>
        <w:br/>
        <w:t xml:space="preserve">Mr. Miguel Bordiu Garcia-Ovies  </w:t>
        <w:br/>
        <w:t xml:space="preserve">In Barcelona, March 20, 2024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of RSG GROUP ESPAÑA,  </w:t>
        <w:br/>
        <w:t xml:space="preserve">S.L.U., by BASIC-FIT INTERNATIONAL, B.V., through the acquisition  </w:t>
        <w:br/>
        <w:t xml:space="preserve">of 100% of its social shares. In accordance with the report and the  </w:t>
        <w:br/>
        <w:t xml:space="preserve">proposal submitted by the Competition Directorate, the Competition Chamber  </w:t>
        <w:br/>
        <w:t xml:space="preserve">has resolved, applying Article 57.2.a) of the aforementioned Law 15/2007, of  </w:t>
        <w:br/>
        <w:t xml:space="preserve">July 3, to authorize the said concentration operation.  </w:t>
        <w:br/>
        <w:t xml:space="preserve">Likewise, taking into account the practice of the CNMC and what is established in the  </w:t>
        <w:br/>
        <w:t xml:space="preserve">Commission Communication on restrictions directly linked to  </w:t>
        <w:br/>
        <w:t xml:space="preserve">the execution of a concentration and necessary for that purpose (2005/C 56/03); this  </w:t>
        <w:br/>
        <w:t xml:space="preserve">Chamber considers that, in the present case, the temporal scope of the  </w:t>
        <w:br/>
        <w:t xml:space="preserve">non-solicitation and confidentiality clauses, to the extent that they exceed  </w:t>
        <w:br/>
        <w:t xml:space="preserve">the 2 years established by the Communication, and the temporal scope of the  </w:t>
        <w:br/>
        <w:t xml:space="preserve">agreement on transition services, to the extent that it exceeds the 5 years of the  </w:t>
        <w:br/>
        <w:t xml:space="preserve">Communication, go beyond what, reasonably, is required by the notified  </w:t>
        <w:br/>
        <w:t xml:space="preserve">concentration operation and should not be considered necessary or ancillary,  </w:t>
        <w:br/>
        <w:t xml:space="preserve">thus remaining subject to the general regulations applicable to agreements  </w:t>
        <w:br/>
        <w:t xml:space="preserve">between companies. All of this in accordance with what is indicated in the  </w:t>
        <w:br/>
        <w:t xml:space="preserve">referred report proposal of the Competition Directorate.  </w:t>
        <w:br/>
        <w:t xml:space="preserve">This Resolution shall be communicated to the Competition Directorate of the  </w:t>
        <w:br/>
        <w:t xml:space="preserve">National Commission of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 </w:t>
        <w:br/>
        <w:t xml:space="preserve">National Court, within two months from the day following its  </w:t>
        <w:br/>
        <w:t xml:space="preserve">notification.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