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https://www.cnmc.es/expedientes/c145324</w:t>
      </w:r>
    </w:p>
    <w:p>
      <w:r>
        <w:t>Pages translated : 1</w:t>
      </w:r>
    </w:p>
    <w:p/>
    <w:p>
      <w:r>
        <w:rPr>
          <w:b/>
        </w:rPr>
        <w:t>[Pages 1–1]</w:t>
      </w:r>
    </w:p>
    <w:p>
      <w:r>
        <w:t xml:space="preserve">C/1453/24  </w:t>
        <w:br/>
        <w:t xml:space="preserve">EASYPARK / MOBILITY 1 SAS  </w:t>
        <w:br/>
        <w:t xml:space="preserve">RESOLUTION  </w:t>
        <w:br/>
        <w:t xml:space="preserve">FILE EASYPARK / MOBILITY 1 SAS  </w:t>
        <w:br/>
        <w:t xml:space="preserve">(C/1453/24)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March 13, 2024</w:t>
      </w:r>
    </w:p>
    <w:p>
      <w:r>
        <w:t>The Competition Chamber has analyzed the merger file processed in accordance with Law 15/2007, of July 3, on the Defense of Competition, consisting of the acquisition by EasyPark Group AS (EASYPARK, and together with all its controlled entities EASYPARK GROUP) of exclusive control of Mobility 1 SAS and its controlled entities (FLOWBIRD). Specifically, through the proposed operation, EASYPARK will acquire 100% of the share capital of FLOWBIRD. According to the report and proposal submitted by the Directorate of Competition, the Competition Chamber has resolved, in application of Article 57.2.a)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