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https://www.cnmc.es/expedientes/c145424</w:t>
      </w:r>
    </w:p>
    <w:p>
      <w:r>
        <w:t>Pages translated : 1</w:t>
      </w:r>
    </w:p>
    <w:p/>
    <w:p>
      <w:r>
        <w:rPr>
          <w:b/>
        </w:rPr>
        <w:t>[Pages 1–1]</w:t>
      </w:r>
    </w:p>
    <w:p>
      <w:r>
        <w:t xml:space="preserve">C/1454/24  </w:t>
        <w:br/>
        <w:t xml:space="preserve">TENSILE / PORTOBELLO / PLENOIL  </w:t>
        <w:br/>
        <w:t xml:space="preserve">RESOLUTION  </w:t>
        <w:br/>
        <w:t xml:space="preserve">FILE TENSILE / PORTOBELLO / PLENOIL  </w:t>
        <w:br/>
        <w:t xml:space="preserve">(C/1454/24)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March 20, 2024</w:t>
      </w:r>
    </w:p>
    <w:p>
      <w:r>
        <w:t>The Competition Chamber has analyzed the concentration file processed in accordance with Law 15/2007, of July 3, on the Defense of Competition, consisting of the acquisition of joint control over PLENOIL, S.L. by TENSILE-METIS HOLDINGS, S.A. R.L. and PORTOBELLO CAPITAL GESTIÓN, SGEIC, S.A.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of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