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https://www.cnmc.es/expedientes/c145524</w:t>
      </w:r>
    </w:p>
    <w:p>
      <w:r>
        <w:t>Pages translated : 2</w:t>
      </w:r>
    </w:p>
    <w:p/>
    <w:p>
      <w:r>
        <w:rPr>
          <w:b/>
        </w:rPr>
        <w:t>[Pages 1–2]</w:t>
      </w:r>
    </w:p>
    <w:p>
      <w:r>
        <w:t xml:space="preserve">C/1455/24  </w:t>
        <w:br/>
        <w:t xml:space="preserve">MÉMORA / TANATORIO LA SOLEDAD (Assets)  </w:t>
        <w:br/>
        <w:t xml:space="preserve">RESOLUTION  </w:t>
        <w:br/>
        <w:t xml:space="preserve">FILE MÉMORA / TANATORIO LA SOLEDAD (Assets)  </w:t>
        <w:br/>
        <w:t xml:space="preserve">(C/1455/24)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March 13, 2024</w:t>
      </w:r>
    </w:p>
    <w:p>
      <w:r>
        <w:t>The Competition Chamber has analyzed the concentration file processed in accordance with Law 15/2007, of July 3, on the Defense of Competition, consisting of the acquisition by MÉMORA SERVICIOS FUNERARIOS, S.L., of exclusive control of the funeral assets of TANATORIO LA SOLEDAD FUNERARIA, S.L. In accordance with the report and proposal submitted by the Competition Directorate, the Competition Chamber has resolved, applying Article 57.2.a) of the aforementioned Law 15/2007, of July 3, to authorize the said concentration operation.</w:t>
      </w:r>
    </w:p>
    <w:p>
      <w:r>
        <w:t>Likewise, taking into account the practice of the CNMC and what is established in the Communication of the Commission on restrictions directly linked to the execution of a concentration and necessary for that purpose (2005/C 56/03); this Chamber considers that, in the present case, the duration of the non-compete clause (to the extent that it exceeds two years), its geographical scope (to the extent that it exceeds the geographical areas in which the acquired entity was operating) and its material scope (regarding the limitation imposed on the seller from holding shares in competing companies without granting them control or decisive influence over them) go beyond what is reasonably required by the notified concentration operation, and therefore remain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