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https://www.cnmc.es/expedientes/c145624</w:t>
      </w:r>
    </w:p>
    <w:p>
      <w:r>
        <w:t>Pages translated : 2</w:t>
      </w:r>
    </w:p>
    <w:p/>
    <w:p>
      <w:r>
        <w:rPr>
          <w:b/>
        </w:rPr>
        <w:t>[Pages 1–2]</w:t>
      </w:r>
    </w:p>
    <w:p>
      <w:r>
        <w:t xml:space="preserve">C/1456/24  </w:t>
        <w:br/>
        <w:t xml:space="preserve">CASP-MCH / DRUNI / ARENAL  </w:t>
        <w:br/>
        <w:t xml:space="preserve">RESOLUTION  </w:t>
        <w:br/>
        <w:t xml:space="preserve">FILE CASP-MCH / DRUNI / ARENAL  </w:t>
        <w:br/>
        <w:t xml:space="preserve">(C/1456/24)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5, 2024</w:t>
      </w:r>
    </w:p>
    <w:p>
      <w:r>
        <w:t>The Competition Chamber has analyzed the concentration file processed in accordance with Law 15/2007, of July 3, on the Defense of Competition, consisting of the combination of the respective shares held by MODELO CONTINENTE HIPERMERCADOS, S.A., SPAIN BRANCH and the CASP FAMILY in their retail beauty and wellness businesses in Spain, ARENAL PERFUMERÍAS S.L. and DRUNI, S.A., respectively. According to the report and the proposal submitted by the Directorate of Competition, the Competition Chamber has resolved, in application of Article 57.2.b) of the aforementioned Law 15/2007, of July 3, to authorize the said concentration operation subject to the compliance with the commitments presented by the notifying party on May 30, 2024.</w:t>
      </w:r>
    </w:p>
    <w:p>
      <w:r>
        <w:t>Likewise, taking into account the practice of the CNMC and what is established in the Communication of the Commission on restrictions directly linked to the execution of a concentration and necessary for that purpose (2005/C 56/03); this Chamber considers that, in the present case, they would exceed what is included in the aforementioned communication and would go beyond what is reasonably required by the notified concentration operation and are not considered necessary or accessory, remaining subject to the general regulations applicable to agreements between companies:</w:t>
      </w:r>
    </w:p>
    <w:p>
      <w:r>
        <w:t xml:space="preserve">National Commission of Markets and Competition 1 of 2  </w:t>
        <w:br/>
        <w:t xml:space="preserve">C/ Alcalá, 47 – 28014 Madrid - C/ Bolivia, 56 – 08018 Barcelona  </w:t>
        <w:br/>
        <w:t>www.cnmc.es</w:t>
      </w:r>
    </w:p>
    <w:p>
      <w:r>
        <w:t xml:space="preserve">C/1456/24  </w:t>
        <w:br/>
        <w:t xml:space="preserve">CASP-MCH / DRUNI / ARENAL  </w:t>
        <w:br/>
        <w:t xml:space="preserve">• The non-competition and non-solicitation clauses of the MCH-CASP Partners Agreement, regarding (i) their geographical scope, in that it exceeds the territorial scope in which the participating company will operate and (ii) their duration, as it exceeds the duration of the participating company itself.  </w:t>
        <w:br/>
        <w:t>• The non-competition, non-solicitation, and confidentiality clauses of the Investment and Partners Contract MCH-[Minority Partner], regarding their duration, in what exceeds the two years established by the aforementioned Communication.</w:t>
      </w:r>
    </w:p>
    <w:p>
      <w:r>
        <w:t>All of this in accordance with what is indicated in the aforementioned report proposal of the Directorate of Competition.</w:t>
      </w:r>
    </w:p>
    <w:p>
      <w: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