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https://www.cnmc.es/expedientes/c145724</w:t>
      </w:r>
    </w:p>
    <w:p>
      <w:r>
        <w:t>Pages translated : 2</w:t>
      </w:r>
    </w:p>
    <w:p/>
    <w:p>
      <w:r>
        <w:rPr>
          <w:b/>
        </w:rPr>
        <w:t>[Pages 1–2]</w:t>
      </w:r>
    </w:p>
    <w:p>
      <w:r>
        <w:t xml:space="preserve">C/1457/24  </w:t>
        <w:br/>
        <w:t xml:space="preserve">FREMMAN-LUNGOVEST / HEALTH TIME  </w:t>
        <w:br/>
        <w:t xml:space="preserve">RESOLUTION  </w:t>
        <w:br/>
        <w:t xml:space="preserve">CASE FREMMAN – LUNGOVEST / HEALTH TIME  </w:t>
        <w:br/>
        <w:t xml:space="preserve">(C/1457/24)  </w:t>
        <w:br/>
        <w:t>COUNCIL. COMPETITION CHAMBER</w:t>
      </w:r>
    </w:p>
    <w:p>
      <w:r>
        <w:t xml:space="preserve">President  </w:t>
        <w:br/>
        <w:t>Ms. Cani Fernández Vicién</w:t>
      </w:r>
    </w:p>
    <w:p>
      <w:r>
        <w:t xml:space="preserve">Councilors  </w:t>
        <w:br/>
        <w:t xml:space="preserve">Ms. María Jesús Martín Martínez  </w:t>
        <w:br/>
        <w:t xml:space="preserve">Mr. Bernardo Lorenzo Almendros  </w:t>
        <w:br/>
        <w:t>Mr. Xabier Ormaetxea Garai</w:t>
      </w:r>
    </w:p>
    <w:p>
      <w:r>
        <w:t xml:space="preserve">Secretary of the Council  </w:t>
        <w:br/>
        <w:t>Mr. Miguel Bordiu Garcia-Ovies</w:t>
      </w:r>
    </w:p>
    <w:p>
      <w:r>
        <w:t>In Madrid, April 3, 2024</w:t>
      </w:r>
    </w:p>
    <w:p>
      <w:r>
        <w:t>The Competition Chamber has analyzed the merger case processed in accordance with Law 15/2007, of July 3, on the Defense of Competition, consisting of the joint acquisition of control of HEALTH TIME, S.L. by FREMMAN CAPITAL and LUNGOVEST, S.L., a company controlled by Antonio Luna Alcalá. In accordance with the report and proposal submitted by the Competition Directorate, the Competition Chamber has resolved, in application of Article 57.2.a) of the aforementioned Law 15/2007, of July 3, to authorize the aforementioned merger operation.</w:t>
      </w:r>
    </w:p>
    <w:p>
      <w:r>
        <w:t>Likewise, taking into account the practice of the CNMC and what is established in the Commission Communication on restrictions directly linked to the execution of a merger and necessary for that purpose (2005/C 56/03); this Chamber considers that, in the present case, the duration of the non-competition and non-solicitation clauses of the shareholders' agreement (to the extent that it exceeds the duration of the joint venture) and their geographical scope (to the extent that it exceeds the geographical areas in which the acquired company was operating), as well as the material scope of the non-competition clause of the shareholders' agreement (regarding the limitation imposed on both partners from holding shares in competing companies without granting them control) goes beyond what is reasonably required by the notified merger operation, thus remaining subject to the general regulations applicable to agreements between companies.</w:t>
      </w:r>
    </w:p>
    <w:p>
      <w:r>
        <w:t>It can also be noted that the geographical and material scope of the non-competition clause and the geographical scope of the non-solicitation clause of the sale contract (with the same content as the non-competition and non-solicitation clauses of the shareholders' agreement) are therefore subject to the general regulations applicable to agreements between companies. All of this is in accordance with what is indicated in the aforementioned report proposal from the Competition Directorate.</w:t>
      </w:r>
    </w:p>
    <w:p>
      <w: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