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https://www.cnmc.es/expedientes/c145924</w:t>
      </w:r>
    </w:p>
    <w:p>
      <w:r>
        <w:t>Pages translated : 1</w:t>
      </w:r>
    </w:p>
    <w:p/>
    <w:p>
      <w:r>
        <w:rPr>
          <w:b/>
        </w:rPr>
        <w:t>[Pages 1–1]</w:t>
      </w:r>
    </w:p>
    <w:p>
      <w:r>
        <w:t xml:space="preserve">C/1459/24  </w:t>
        <w:br/>
        <w:t xml:space="preserve">CAPSA / FLOR DE BURGOS  </w:t>
        <w:br/>
        <w:t xml:space="preserve">RESOLUTION  </w:t>
        <w:br/>
        <w:t xml:space="preserve">FILE CAPSA / FLOR DE BURGOS  </w:t>
        <w:br/>
        <w:t xml:space="preserve">(C/1459/24)  </w:t>
        <w:br/>
        <w:t>COUNCIL. COMPETITION CHAMBER</w:t>
      </w:r>
    </w:p>
    <w:p>
      <w:r>
        <w:t xml:space="preserve">President  </w:t>
        <w:br/>
        <w:t>Ms. Cani Fernández Vicién</w:t>
      </w:r>
    </w:p>
    <w:p>
      <w:r>
        <w:t xml:space="preserve">Councilors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April 17, 2024</w:t>
      </w:r>
    </w:p>
    <w:p>
      <w:r>
        <w:t>The Competition Chamber has analyzed the merger file processed in accordance with Law 15/2007, of July 3, on the Defense of Competition, consisting of the acquisition of exclusive control by Corporación Alimentaria Peñasanta, S.A, over Lácteas Flor de Burgos S.L. In accordance with the report and proposal submitted by the Competition Directorate, the Competition Chamber has resolved, in application of article 57.2.a) of the aforementioned Law 15/2007, of July 3, to authorize the aforementioned merger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p>
      <w:r>
        <w:t xml:space="preserve">National Commission on Markets and Competition  </w:t>
        <w:br/>
        <w:t xml:space="preserve">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