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https://www.cnmc.es/expedientes/c146124</w:t>
      </w:r>
    </w:p>
    <w:p>
      <w:r>
        <w:t>Pages translated : 1</w:t>
      </w:r>
    </w:p>
    <w:p/>
    <w:p>
      <w:r>
        <w:rPr>
          <w:b/>
        </w:rPr>
        <w:t>[Pages 1–1]</w:t>
      </w:r>
    </w:p>
    <w:p>
      <w:r>
        <w:t xml:space="preserve">C/1461/24  </w:t>
        <w:br/>
        <w:t xml:space="preserve">SENER / SCR  </w:t>
        <w:br/>
        <w:t xml:space="preserve">RESOLUTION  </w:t>
        <w:br/>
        <w:t xml:space="preserve">FILE SENER / SCR  </w:t>
        <w:br/>
        <w:t xml:space="preserve">(C/1461/24)  </w:t>
        <w:br/>
        <w:t>COUNCIL. COMPETITION CHAMBER</w:t>
      </w:r>
    </w:p>
    <w:p>
      <w:r>
        <w:t xml:space="preserve">President  </w:t>
        <w:br/>
        <w:t>Ms. Cani Fernández Vicién</w:t>
      </w:r>
    </w:p>
    <w:p>
      <w:r>
        <w:t xml:space="preserve">Counselors  </w:t>
        <w:br/>
        <w:t xml:space="preserve">Ms. María Jesús Martín Martínez  </w:t>
        <w:br/>
        <w:t>Mr. Bernardo Lorenzo Almendros</w:t>
      </w:r>
    </w:p>
    <w:p>
      <w:r>
        <w:t xml:space="preserve">Secretary of the Council  </w:t>
        <w:br/>
        <w:t>Mr. Miguel Bordiu Garcia-Ovies</w:t>
      </w:r>
    </w:p>
    <w:p>
      <w:r>
        <w:t>In Madrid, April 30, 2024</w:t>
      </w:r>
    </w:p>
    <w:p>
      <w:r>
        <w:t>The Competition Chamber has analyzed the merger file processed in accordance with Law 15/2007, of July 3, on the Defense of Competition, consisting of the acquisition by Sener Aeroespacial S.A. of exclusive control of Sistemas de Control Remoto, S.L.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