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https://www.cnmc.es/expedientes/c146224</w:t>
      </w:r>
    </w:p>
    <w:p>
      <w:r>
        <w:t>Pages translated : 1</w:t>
      </w:r>
    </w:p>
    <w:p/>
    <w:p>
      <w:r>
        <w:rPr>
          <w:b/>
        </w:rPr>
        <w:t>[Pages 1–1]</w:t>
      </w:r>
    </w:p>
    <w:p>
      <w:r>
        <w:t xml:space="preserve">C/1462/24  </w:t>
        <w:br/>
        <w:t xml:space="preserve">ENILIVE / GRUPO ATENOIL  </w:t>
        <w:br/>
        <w:t xml:space="preserve">RESOLUTION  </w:t>
        <w:br/>
        <w:t xml:space="preserve">FILE ENILIVE / GRUPO ATENOIL  </w:t>
        <w:br/>
        <w:t xml:space="preserve">(C/1462/24)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May 21, 2024</w:t>
      </w:r>
    </w:p>
    <w:p>
      <w:r>
        <w:t>The Competition Chamber has analyzed the concentration file processed in accordance with Law 15/2007, of July 3, on the Defense of Competition, consisting of the acquisition by Enilive Iberia S.L.U (“ENILIVE”) of exclusive control of Aten Oil, S.L.U., Aten Oil Setor, S.L.U., and Tasonis Directorship, S.L.U., which are part of the Atenoil Group (“GRUPO ATENOIL”).</w:t>
      </w:r>
    </w:p>
    <w:p>
      <w:r>
        <w:t>In accordance with the report and proposal submitted by the Competition Directorate, the Competition Chamber has resolved, under the application of Article 57.2.a) of the aforementioned Law 15/2007, of July 3,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