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https://www.cnmc.es/expedientes/c146324</w:t>
      </w:r>
    </w:p>
    <w:p>
      <w:r>
        <w:t>Pages translated : 2</w:t>
      </w:r>
    </w:p>
    <w:p/>
    <w:p>
      <w:r>
        <w:rPr>
          <w:b/>
        </w:rPr>
        <w:t>[Pages 1–2]</w:t>
      </w:r>
    </w:p>
    <w:p>
      <w:r>
        <w:t xml:space="preserve">C/1463/24  </w:t>
        <w:br/>
        <w:t xml:space="preserve">CEPSA / BALLENOIL  </w:t>
        <w:br/>
        <w:t xml:space="preserve">RESOLUTION  </w:t>
        <w:br/>
        <w:t xml:space="preserve">FILE CEPSA / BALLENOIL  </w:t>
        <w:br/>
        <w:t xml:space="preserve">(C/1463/24)  </w:t>
        <w:br/>
        <w:t>COUNCIL. COMPETITION CHAMBER</w:t>
      </w:r>
    </w:p>
    <w:p>
      <w:r>
        <w:t xml:space="preserve">President  </w:t>
        <w:br/>
        <w:t>Ms. Cani Fernández Vicién</w:t>
      </w:r>
    </w:p>
    <w:p>
      <w:r>
        <w:t xml:space="preserve">Counselors  </w:t>
        <w:br/>
        <w:t xml:space="preserve">Ms. María Jesús Martín Martínez  </w:t>
        <w:br/>
        <w:t xml:space="preserve">Mr. Bernardo Lorenzo Almendros  </w:t>
        <w:br/>
        <w:t>Mr. Xabier Ormaetxea Garai</w:t>
      </w:r>
    </w:p>
    <w:p>
      <w:r>
        <w:t xml:space="preserve">Secretary of the Council  </w:t>
        <w:br/>
        <w:t>Mr. Miguel Bordiu Garcia-Ovies</w:t>
      </w:r>
    </w:p>
    <w:p>
      <w:r>
        <w:t>In Madrid, May 21, 2024</w:t>
      </w:r>
    </w:p>
    <w:p>
      <w:r>
        <w:t>The Competition Chamber has analyzed the merger file processed in accordance with Law 15/2007, of July 3, on the Defense of Competition, consisting of the acquisition of exclusive control of Ballenoil, S.A., by Compañía Española de Petróleos, S.A.</w:t>
      </w:r>
    </w:p>
    <w:p>
      <w:r>
        <w:t>On January 5, 2024, the Directorate-General for Competition of the European Commission agreed to refer the entirety of the operation to Spain, pursuant to Article 4.4 letter b) of the Community Regulation on concentrations and Article 57 of the EEA Agreement, certifying that it meets the requirements set forth in said regulation, and having obtained prior approval from the Directorate of Competition of the CNMC in accordance with Article 19, letter q) of the Organic Statute of the CNMC.</w:t>
      </w:r>
    </w:p>
    <w:p>
      <w:r>
        <w:t>In accordance with the report and proposal submitted by the Directorate of Competition, the Competition Chamber has resolved, pursuant to Article 57.2.b) of the aforementioned Law 15/2007, of July 3, to authorize the aforementioned concentration operation, subject to compliance with the commitments presented by the notifying party on May 14, 2024.</w:t>
      </w:r>
    </w:p>
    <w:p>
      <w:r>
        <w:t xml:space="preserve">National Commission on Markets and Competition 1 of 2  </w:t>
        <w:br/>
        <w:t xml:space="preserve">C/ Alcalá, 47 – 28014 Madrid - C/ Bolivia, 56 – 08018 Barcelona  </w:t>
        <w:br/>
        <w:t>www.cnmc.es</w:t>
      </w:r>
    </w:p>
    <w:p>
      <w:r>
        <w:t xml:space="preserve">C/1463/24  </w:t>
        <w:br/>
        <w:t xml:space="preserve">CEPSA / BALLENOIL  </w:t>
        <w:b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on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