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https://www.cnmc.es/expedientes/c146424</w:t>
      </w:r>
    </w:p>
    <w:p>
      <w:r>
        <w:t>Pages translated : 2</w:t>
      </w:r>
    </w:p>
    <w:p/>
    <w:p>
      <w:r>
        <w:rPr>
          <w:b/>
        </w:rPr>
        <w:t>[Pages 1–2]</w:t>
      </w:r>
    </w:p>
    <w:p>
      <w:r>
        <w:t xml:space="preserve">C/1464/24  </w:t>
        <w:br/>
        <w:t xml:space="preserve">VISALIA / SEROSENSE  </w:t>
        <w:br/>
        <w:t xml:space="preserve">RESOLUTION  </w:t>
        <w:br/>
        <w:t xml:space="preserve">FILE VISALIA / SEROSENSE  </w:t>
        <w:br/>
        <w:t xml:space="preserve">(C/1464/24)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June 5, 2024</w:t>
      </w:r>
    </w:p>
    <w:p>
      <w:r>
        <w:t>The Competition Chamber has analyzed the concentration file processed in accordance with Law 15/2007, of July 3, on the Defense of Competition, consisting of the acquisition of exclusive control by ELÉCTRICA SEROSENSE, S.L., ELÉCTRICA SEROSENSE DISTRIBUIDORA, S.L.U., and SEROSENSE TELECOM, S.L. (“SEROSENSE”) by VISALIA ENERGÍA S.L. (“VISALIA”). In accordance with the report and proposal submitted by the Competition Directorate, the Competition Chamber has resolved, under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regarding the content of the non-compete clause, any limitation on the acquisition or holding of shares in a competing company for exclusively financial investment purposes, which does not confer direct or indirect management functions or substantial influence in the same, shall not be considered an ancillary and necessary restriction for the operation, and therefore shall be subject to the regulations on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